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BC68" w14:textId="583604FE" w:rsidR="0090426C" w:rsidRPr="0090426C" w:rsidRDefault="0090426C" w:rsidP="0090426C">
      <w:pPr>
        <w:jc w:val="center"/>
        <w:rPr>
          <w:b/>
          <w:bCs/>
        </w:rPr>
      </w:pPr>
      <w:r w:rsidRPr="0090426C">
        <w:rPr>
          <w:b/>
          <w:bCs/>
        </w:rPr>
        <w:t xml:space="preserve">RELATÓRIO DA ADMINISTRAÇÃO DO </w:t>
      </w:r>
      <w:r w:rsidR="00CE1A39">
        <w:rPr>
          <w:b/>
          <w:bCs/>
        </w:rPr>
        <w:t>EXERCÍCIO</w:t>
      </w:r>
      <w:r w:rsidRPr="0090426C">
        <w:rPr>
          <w:b/>
          <w:bCs/>
        </w:rPr>
        <w:t xml:space="preserve"> DE 2025</w:t>
      </w:r>
    </w:p>
    <w:p w14:paraId="5B6AC150" w14:textId="77777777" w:rsidR="0090426C" w:rsidRPr="0090426C" w:rsidRDefault="0090426C" w:rsidP="0090426C">
      <w:pPr>
        <w:jc w:val="center"/>
        <w:rPr>
          <w:b/>
          <w:bCs/>
        </w:rPr>
      </w:pPr>
      <w:r w:rsidRPr="0090426C">
        <w:rPr>
          <w:b/>
          <w:bCs/>
        </w:rPr>
        <w:t>GOIÁSFOMENTO – AGÊNCIA DE FOMENTO DE GOIÁS S/A</w:t>
      </w:r>
    </w:p>
    <w:p w14:paraId="028D7020" w14:textId="77777777" w:rsidR="0090426C" w:rsidRDefault="0090426C" w:rsidP="0090426C">
      <w:pPr>
        <w:jc w:val="both"/>
        <w:rPr>
          <w:b/>
          <w:bCs/>
        </w:rPr>
      </w:pPr>
    </w:p>
    <w:p w14:paraId="29870AAE" w14:textId="07133985" w:rsidR="0090426C" w:rsidRPr="0090426C" w:rsidRDefault="0090426C" w:rsidP="0090426C">
      <w:pPr>
        <w:jc w:val="both"/>
      </w:pPr>
      <w:r w:rsidRPr="0090426C">
        <w:rPr>
          <w:b/>
          <w:bCs/>
        </w:rPr>
        <w:t>Senhores Acionistas,</w:t>
      </w:r>
    </w:p>
    <w:p w14:paraId="082318B7" w14:textId="77777777" w:rsidR="00223223" w:rsidRDefault="00223223" w:rsidP="0090426C">
      <w:pPr>
        <w:jc w:val="both"/>
      </w:pPr>
    </w:p>
    <w:p w14:paraId="3CB18F46" w14:textId="17EA767C" w:rsidR="0090426C" w:rsidRDefault="0088455D" w:rsidP="0090426C">
      <w:pPr>
        <w:jc w:val="both"/>
      </w:pPr>
      <w:r w:rsidRPr="0088455D">
        <w:t xml:space="preserve">Em cumprimento às disposições legais e estatutárias, submetemos à apreciação de Vossas Senhorias o </w:t>
      </w:r>
      <w:r w:rsidRPr="0088455D">
        <w:rPr>
          <w:b/>
          <w:bCs/>
        </w:rPr>
        <w:t>Relatório da Administração</w:t>
      </w:r>
      <w:r w:rsidRPr="0088455D">
        <w:t xml:space="preserve"> e as </w:t>
      </w:r>
      <w:r w:rsidRPr="0088455D">
        <w:rPr>
          <w:b/>
          <w:bCs/>
        </w:rPr>
        <w:t>Demonstrações Financeiras (DFs)</w:t>
      </w:r>
      <w:r w:rsidRPr="0088455D">
        <w:t xml:space="preserve"> da Agência de Fomento de Goiás S/A (</w:t>
      </w:r>
      <w:r w:rsidRPr="0088455D">
        <w:rPr>
          <w:b/>
          <w:bCs/>
        </w:rPr>
        <w:t>GOIÁSFOMENTO</w:t>
      </w:r>
      <w:r w:rsidRPr="0088455D">
        <w:t>), relativas ao exercício findo em 31 de dezembro de 2025</w:t>
      </w:r>
      <w:r w:rsidR="0090426C" w:rsidRPr="0090426C">
        <w:t>.</w:t>
      </w:r>
    </w:p>
    <w:p w14:paraId="3C620556" w14:textId="430A719A" w:rsidR="0088455D" w:rsidRDefault="0088455D" w:rsidP="0090426C">
      <w:pPr>
        <w:jc w:val="both"/>
      </w:pPr>
      <w:r w:rsidRPr="0088455D">
        <w:t xml:space="preserve">O presente conjunto de demonstrações foi elaborado em estrita conformidade com as </w:t>
      </w:r>
      <w:r w:rsidRPr="0088455D">
        <w:rPr>
          <w:b/>
          <w:bCs/>
        </w:rPr>
        <w:t>Práticas Contábeis Adotadas no Brasil</w:t>
      </w:r>
      <w:r w:rsidRPr="0088455D">
        <w:t xml:space="preserve"> aplicáveis às instituições autorizadas a funcionar pelo Banco Central do Brasil (</w:t>
      </w:r>
      <w:r w:rsidRPr="0088455D">
        <w:rPr>
          <w:b/>
          <w:bCs/>
        </w:rPr>
        <w:t>Padrão COSIF</w:t>
      </w:r>
      <w:r w:rsidRPr="0088455D">
        <w:t>), observando as diretrizes da Lei nº 6.404/76, as normas do Conselho Monetário Nacional (CMN), do Banco Central do Brasil (BCB) e, nos aspectos aplicáveis, da Comissão de Valores Mobiliários (CVM).</w:t>
      </w:r>
    </w:p>
    <w:p w14:paraId="13AD1FA7" w14:textId="4C65F2AB" w:rsidR="0088455D" w:rsidRPr="0090426C" w:rsidRDefault="0088455D" w:rsidP="0088455D">
      <w:pPr>
        <w:jc w:val="both"/>
        <w:rPr>
          <w:b/>
          <w:bCs/>
        </w:rPr>
      </w:pPr>
      <w:r w:rsidRPr="0090426C">
        <w:rPr>
          <w:b/>
          <w:bCs/>
        </w:rPr>
        <w:t xml:space="preserve">1. </w:t>
      </w:r>
      <w:r>
        <w:rPr>
          <w:b/>
          <w:bCs/>
        </w:rPr>
        <w:t>AMBIENTE MACROECONÔMICO</w:t>
      </w:r>
    </w:p>
    <w:p w14:paraId="02D25703" w14:textId="7C584C52" w:rsidR="0090426C" w:rsidRDefault="0088455D" w:rsidP="0090426C">
      <w:pPr>
        <w:jc w:val="both"/>
      </w:pPr>
      <w:r w:rsidRPr="0088455D">
        <w:t>No exercício de 2025, o cenário macroeconômico doméstico caracterizou-se por um crescimento moderado do Produto Interno Bruto (PIB), condicionado pela persistência de uma política monetária restritiva. A manutenção da taxa básica de juros (Selic) em patamares contracionistas pelo BCB, visando a convergência inflacionária à meta estabelecida pelo CMN, resultou na elevação do custo de capital (</w:t>
      </w:r>
      <w:r w:rsidRPr="0088455D">
        <w:rPr>
          <w:i/>
          <w:iCs/>
        </w:rPr>
        <w:t>funding</w:t>
      </w:r>
      <w:r w:rsidRPr="0088455D">
        <w:t xml:space="preserve">). Como externalidade direta dessa conjuntura, observou-se uma retração na Formação Bruta de Capital Fixo (FBCF) e um arrefecimento da demanda agregada. Para a Instituição, a sustentação de juros reais elevados impôs desafios à originação de crédito, refletindo-se na composição do </w:t>
      </w:r>
      <w:r w:rsidRPr="0088455D">
        <w:rPr>
          <w:i/>
          <w:iCs/>
        </w:rPr>
        <w:t>spread</w:t>
      </w:r>
      <w:r w:rsidRPr="0088455D">
        <w:t xml:space="preserve"> bancário e no Custo Efetivo Total (CET) das operações de financiamento</w:t>
      </w:r>
      <w:r w:rsidR="0090426C" w:rsidRPr="0090426C">
        <w:t>.</w:t>
      </w:r>
    </w:p>
    <w:p w14:paraId="395796A4" w14:textId="7FEA193C" w:rsidR="0088455D" w:rsidRPr="0088455D" w:rsidRDefault="0088455D" w:rsidP="0090426C">
      <w:pPr>
        <w:jc w:val="both"/>
        <w:rPr>
          <w:b/>
          <w:bCs/>
        </w:rPr>
      </w:pPr>
      <w:r w:rsidRPr="0088455D">
        <w:rPr>
          <w:b/>
          <w:bCs/>
        </w:rPr>
        <w:t>2. DESEMPENHO OPERACIONAL E PROGRAMAS SOCIAIS</w:t>
      </w:r>
    </w:p>
    <w:p w14:paraId="1ECBEB38" w14:textId="1B9185C0" w:rsidR="0088455D" w:rsidRPr="0088455D" w:rsidRDefault="0088455D" w:rsidP="0088455D">
      <w:pPr>
        <w:jc w:val="both"/>
      </w:pPr>
      <w:r w:rsidRPr="0088455D">
        <w:t xml:space="preserve">A análise comparativa interanual evidencia uma contração de 14,6% no volume de desembolsos, totalizando </w:t>
      </w:r>
      <w:r w:rsidRPr="0088455D">
        <w:rPr>
          <w:b/>
          <w:bCs/>
        </w:rPr>
        <w:t>R$ 57,1 milhões</w:t>
      </w:r>
      <w:r w:rsidRPr="0088455D">
        <w:t xml:space="preserve"> em 2025, frente aos R$ 66,9 milhões registrados no exercício anterior. No segmento de programas sociais, onde a GoiásFomento atua como agente financeiro e operador de meios de pagamento (cartões </w:t>
      </w:r>
      <w:r w:rsidR="008B672C">
        <w:t>voucher</w:t>
      </w:r>
      <w:r w:rsidRPr="0088455D">
        <w:t xml:space="preserve">), os desembolsos totalizaram </w:t>
      </w:r>
      <w:r w:rsidRPr="0088455D">
        <w:rPr>
          <w:b/>
          <w:bCs/>
        </w:rPr>
        <w:t>R$ 222,91 milhões</w:t>
      </w:r>
      <w:r w:rsidRPr="0088455D">
        <w:t xml:space="preserve"> no exercício.</w:t>
      </w:r>
    </w:p>
    <w:p w14:paraId="100B8788" w14:textId="31870AD9" w:rsidR="0088455D" w:rsidRPr="0088455D" w:rsidRDefault="0088455D" w:rsidP="0088455D">
      <w:pPr>
        <w:jc w:val="both"/>
      </w:pPr>
      <w:r w:rsidRPr="0088455D">
        <w:lastRenderedPageBreak/>
        <w:t xml:space="preserve">Desde junho de 2021, a Instituição viabilizou o atendimento de mais de 907.746 beneficiários, acumulando um volume financeiro de </w:t>
      </w:r>
      <w:r w:rsidRPr="0088455D">
        <w:rPr>
          <w:b/>
          <w:bCs/>
        </w:rPr>
        <w:t>R$ 1,925 bilhão</w:t>
      </w:r>
      <w:r w:rsidRPr="0088455D">
        <w:t xml:space="preserve">. Essa atuação estratégica na gestão de recursos de transferência de renda gerou receitas de prestação de serviços na ordem de </w:t>
      </w:r>
      <w:r w:rsidRPr="0088455D">
        <w:rPr>
          <w:b/>
          <w:bCs/>
        </w:rPr>
        <w:t>R$ 16,9 milhões</w:t>
      </w:r>
      <w:r w:rsidRPr="0088455D">
        <w:t xml:space="preserve"> em 2025, um incremento de 112% em relação ao ano anterior, </w:t>
      </w:r>
      <w:r w:rsidR="00D4154E">
        <w:t>principalmente, em face da substituição do prestador de serviços,</w:t>
      </w:r>
      <w:r w:rsidR="00D4154E" w:rsidRPr="0088455D">
        <w:t xml:space="preserve"> </w:t>
      </w:r>
      <w:r w:rsidRPr="0088455D">
        <w:t>contribuindo positivamente para a margem operacional da Agência.</w:t>
      </w:r>
    </w:p>
    <w:p w14:paraId="30A9C7AD" w14:textId="3E519EA5" w:rsidR="0088455D" w:rsidRPr="0088455D" w:rsidRDefault="0088455D" w:rsidP="0090426C">
      <w:pPr>
        <w:jc w:val="both"/>
        <w:rPr>
          <w:b/>
          <w:bCs/>
        </w:rPr>
      </w:pPr>
      <w:r w:rsidRPr="0088455D">
        <w:rPr>
          <w:b/>
          <w:bCs/>
        </w:rPr>
        <w:t>3. RESULTADOS FINANCEIROS E PATRIMONIAIS</w:t>
      </w:r>
    </w:p>
    <w:p w14:paraId="3D5ACAA9" w14:textId="580A97A2" w:rsidR="0088455D" w:rsidRPr="0088455D" w:rsidRDefault="0088455D" w:rsidP="0088455D">
      <w:pPr>
        <w:jc w:val="both"/>
      </w:pPr>
      <w:r w:rsidRPr="0088455D">
        <w:t xml:space="preserve">A Instituição apurou um </w:t>
      </w:r>
      <w:r w:rsidRPr="0088455D">
        <w:rPr>
          <w:b/>
          <w:bCs/>
        </w:rPr>
        <w:t>Lucro Líquido de R$ 5,9 milhões</w:t>
      </w:r>
      <w:r w:rsidRPr="0088455D">
        <w:t xml:space="preserve">, o que representa uma expansão de </w:t>
      </w:r>
      <w:r w:rsidRPr="0088455D">
        <w:rPr>
          <w:b/>
          <w:bCs/>
        </w:rPr>
        <w:t>65,4%</w:t>
      </w:r>
      <w:r w:rsidRPr="0088455D">
        <w:t xml:space="preserve"> em relação ao resultado de 2024 (R$ 3,6 milhões). O Retorno sobre o Patrimônio Líquido (ROE) atingiu </w:t>
      </w:r>
      <w:r w:rsidR="00CB5C1D">
        <w:rPr>
          <w:b/>
          <w:bCs/>
        </w:rPr>
        <w:t>2,9</w:t>
      </w:r>
      <w:r w:rsidRPr="0088455D">
        <w:rPr>
          <w:b/>
          <w:bCs/>
        </w:rPr>
        <w:t>%</w:t>
      </w:r>
      <w:r w:rsidRPr="0088455D">
        <w:t>, demonstrando ganho de rentabilidade frente aos 1,8% do período homólogo.</w:t>
      </w:r>
    </w:p>
    <w:p w14:paraId="5F1D98D3" w14:textId="77777777" w:rsidR="0088455D" w:rsidRPr="002E4BF7" w:rsidRDefault="0088455D" w:rsidP="0088455D">
      <w:pPr>
        <w:numPr>
          <w:ilvl w:val="0"/>
          <w:numId w:val="1"/>
        </w:numPr>
        <w:jc w:val="both"/>
      </w:pPr>
      <w:r w:rsidRPr="002E4BF7">
        <w:rPr>
          <w:b/>
          <w:bCs/>
        </w:rPr>
        <w:t>Ativo Total:</w:t>
      </w:r>
      <w:r w:rsidRPr="002E4BF7">
        <w:t xml:space="preserve"> Registrou expansão de 10,8%, atingindo </w:t>
      </w:r>
      <w:r w:rsidRPr="002E4BF7">
        <w:rPr>
          <w:b/>
          <w:bCs/>
        </w:rPr>
        <w:t>R$ 305,2 milhões</w:t>
      </w:r>
      <w:r w:rsidRPr="002E4BF7">
        <w:t>. O incremento nominal de R$ 10,6 milhões é majoritariamente atribuível à captação de recursos vinculados ao Fundo Geral de Turismo (FUNGETUR).</w:t>
      </w:r>
    </w:p>
    <w:p w14:paraId="0D7CB1EB" w14:textId="0FB5E8F8" w:rsidR="0088455D" w:rsidRPr="0088455D" w:rsidRDefault="0088455D" w:rsidP="0088455D">
      <w:pPr>
        <w:numPr>
          <w:ilvl w:val="0"/>
          <w:numId w:val="1"/>
        </w:numPr>
        <w:jc w:val="both"/>
      </w:pPr>
      <w:r w:rsidRPr="002E4BF7">
        <w:rPr>
          <w:b/>
          <w:bCs/>
        </w:rPr>
        <w:t>Carteira de Crédito:</w:t>
      </w:r>
      <w:r w:rsidRPr="002E4BF7">
        <w:t xml:space="preserve"> O saldo consolidado (Recursos Próprios e Vinculados)</w:t>
      </w:r>
      <w:r w:rsidRPr="0088455D">
        <w:t xml:space="preserve"> cresceu 13,8%, totalizando </w:t>
      </w:r>
      <w:r w:rsidRPr="0088455D">
        <w:rPr>
          <w:b/>
          <w:bCs/>
        </w:rPr>
        <w:t>R$ 136,4 milhões</w:t>
      </w:r>
      <w:r w:rsidRPr="0088455D">
        <w:t>. Contudo, em termos de capilaridade, observou-se uma redução no número de operações ativas, que passou de 4.434 para 3.584 (-19,2%)</w:t>
      </w:r>
      <w:r w:rsidR="000A5B52">
        <w:t>, evidenciando uma estratégia no  aumento no ticket médio</w:t>
      </w:r>
      <w:r w:rsidRPr="0088455D">
        <w:t>.</w:t>
      </w:r>
    </w:p>
    <w:p w14:paraId="03C240FE" w14:textId="77777777" w:rsidR="0088455D" w:rsidRPr="0088455D" w:rsidRDefault="0088455D" w:rsidP="0088455D">
      <w:pPr>
        <w:numPr>
          <w:ilvl w:val="0"/>
          <w:numId w:val="1"/>
        </w:numPr>
        <w:jc w:val="both"/>
      </w:pPr>
      <w:r w:rsidRPr="0088455D">
        <w:rPr>
          <w:b/>
          <w:bCs/>
        </w:rPr>
        <w:t>Gestão de Liquidez (Tesouraria):</w:t>
      </w:r>
      <w:r w:rsidRPr="0088455D">
        <w:t xml:space="preserve"> O portfólio de ativos de liquidez expandiu 11%, alcançando </w:t>
      </w:r>
      <w:r w:rsidRPr="0088455D">
        <w:rPr>
          <w:b/>
          <w:bCs/>
        </w:rPr>
        <w:t>R$ 153,4 milhões</w:t>
      </w:r>
      <w:r w:rsidRPr="0088455D">
        <w:t>. A Taxa de Retorno Média Ponderada (</w:t>
      </w:r>
      <w:r w:rsidRPr="0088455D">
        <w:rPr>
          <w:i/>
          <w:iCs/>
        </w:rPr>
        <w:t>Yield</w:t>
      </w:r>
      <w:r w:rsidRPr="0088455D">
        <w:t>) foi de 1,18% a.m., beneficiada pela gestão ativa em ambiente de Selic elevada.</w:t>
      </w:r>
    </w:p>
    <w:p w14:paraId="4E4401BA" w14:textId="77777777" w:rsidR="0088455D" w:rsidRPr="0088455D" w:rsidRDefault="0088455D" w:rsidP="0088455D">
      <w:pPr>
        <w:numPr>
          <w:ilvl w:val="0"/>
          <w:numId w:val="1"/>
        </w:numPr>
        <w:jc w:val="both"/>
      </w:pPr>
      <w:r w:rsidRPr="0088455D">
        <w:rPr>
          <w:b/>
          <w:bCs/>
        </w:rPr>
        <w:t>Patrimônio Líquido:</w:t>
      </w:r>
      <w:r w:rsidRPr="0088455D">
        <w:t xml:space="preserve"> Totalizou </w:t>
      </w:r>
      <w:r w:rsidRPr="0088455D">
        <w:rPr>
          <w:b/>
          <w:bCs/>
        </w:rPr>
        <w:t>R$ 206,3 milhões</w:t>
      </w:r>
      <w:r w:rsidRPr="0088455D">
        <w:t>, um crescimento de 1,8% comparado ao encerramento de 2024.</w:t>
      </w:r>
    </w:p>
    <w:p w14:paraId="3C7B0568" w14:textId="28549143" w:rsidR="0088455D" w:rsidRPr="0088455D" w:rsidRDefault="0088455D" w:rsidP="0090426C">
      <w:pPr>
        <w:jc w:val="both"/>
        <w:rPr>
          <w:b/>
          <w:bCs/>
        </w:rPr>
      </w:pPr>
      <w:r w:rsidRPr="0088455D">
        <w:rPr>
          <w:b/>
          <w:bCs/>
        </w:rPr>
        <w:t>4. GESTÃO DE RISCOS E PROVISÕES (RESOLUÇÃO CMN Nº 4.966/2021)</w:t>
      </w:r>
    </w:p>
    <w:p w14:paraId="69611C4D" w14:textId="77777777" w:rsidR="0088455D" w:rsidRPr="0088455D" w:rsidRDefault="0088455D" w:rsidP="0088455D">
      <w:pPr>
        <w:jc w:val="both"/>
      </w:pPr>
      <w:r w:rsidRPr="0088455D">
        <w:t xml:space="preserve">Em aderência à </w:t>
      </w:r>
      <w:r w:rsidRPr="0088455D">
        <w:rPr>
          <w:b/>
          <w:bCs/>
        </w:rPr>
        <w:t>Resolução CMN nº 4.966/2021</w:t>
      </w:r>
      <w:r w:rsidRPr="0088455D">
        <w:t xml:space="preserve">, a Instituição atualizou sua metodologia de mensuração de instrumentos financeiros e constituição de </w:t>
      </w:r>
      <w:r w:rsidRPr="0088455D">
        <w:rPr>
          <w:b/>
          <w:bCs/>
        </w:rPr>
        <w:t>Provisão para Perdas Esperadas Associadas ao Risco de Crédito (ECL)</w:t>
      </w:r>
      <w:r w:rsidRPr="0088455D">
        <w:t>.</w:t>
      </w:r>
    </w:p>
    <w:p w14:paraId="4D87A431" w14:textId="77777777" w:rsidR="0088455D" w:rsidRPr="0088455D" w:rsidRDefault="0088455D" w:rsidP="0088455D">
      <w:pPr>
        <w:numPr>
          <w:ilvl w:val="0"/>
          <w:numId w:val="2"/>
        </w:numPr>
        <w:jc w:val="both"/>
      </w:pPr>
      <w:r w:rsidRPr="0088455D">
        <w:t xml:space="preserve">O saldo de provisão em 31/12/2025 totalizou </w:t>
      </w:r>
      <w:r w:rsidRPr="0088455D">
        <w:rPr>
          <w:b/>
          <w:bCs/>
        </w:rPr>
        <w:t>R$ 10,9 milhões</w:t>
      </w:r>
      <w:r w:rsidRPr="0088455D">
        <w:t xml:space="preserve"> (+31,8% vs. 2024).</w:t>
      </w:r>
    </w:p>
    <w:p w14:paraId="67B2CD0E" w14:textId="213977E3" w:rsidR="0088455D" w:rsidRPr="0088455D" w:rsidRDefault="0088455D" w:rsidP="0088455D">
      <w:pPr>
        <w:numPr>
          <w:ilvl w:val="0"/>
          <w:numId w:val="2"/>
        </w:numPr>
        <w:jc w:val="both"/>
      </w:pPr>
      <w:r w:rsidRPr="0088455D">
        <w:lastRenderedPageBreak/>
        <w:t xml:space="preserve">O </w:t>
      </w:r>
      <w:r w:rsidRPr="0088455D">
        <w:rPr>
          <w:b/>
          <w:bCs/>
        </w:rPr>
        <w:t>Índice de Inadimplência</w:t>
      </w:r>
      <w:r w:rsidRPr="0088455D">
        <w:t xml:space="preserve"> encerrou o período em </w:t>
      </w:r>
      <w:r w:rsidRPr="0088455D">
        <w:rPr>
          <w:b/>
          <w:bCs/>
        </w:rPr>
        <w:t>8,0%</w:t>
      </w:r>
      <w:r w:rsidRPr="0088455D">
        <w:t>, ante 6,9% em 31/12/2024, refletindo a deterioração marginal da capacidade de pagamento dos tomadores no cenário de juros elevados</w:t>
      </w:r>
      <w:r w:rsidR="00B923F2">
        <w:t>, bem como, pela alteração na metodologia de mensuração de risco</w:t>
      </w:r>
      <w:r w:rsidRPr="0088455D">
        <w:t>.</w:t>
      </w:r>
    </w:p>
    <w:p w14:paraId="51718972" w14:textId="77777777" w:rsidR="0088455D" w:rsidRPr="0088455D" w:rsidRDefault="0088455D" w:rsidP="0088455D">
      <w:pPr>
        <w:numPr>
          <w:ilvl w:val="0"/>
          <w:numId w:val="2"/>
        </w:numPr>
        <w:jc w:val="both"/>
      </w:pPr>
      <w:r w:rsidRPr="0088455D">
        <w:t xml:space="preserve">As Receitas de Recuperação de Crédito totalizaram </w:t>
      </w:r>
      <w:r w:rsidRPr="0060610D">
        <w:rPr>
          <w:b/>
          <w:bCs/>
        </w:rPr>
        <w:t>R</w:t>
      </w:r>
      <w:r w:rsidRPr="0088455D">
        <w:rPr>
          <w:b/>
          <w:bCs/>
        </w:rPr>
        <w:t>$ 9,8 milhões</w:t>
      </w:r>
      <w:r w:rsidRPr="0088455D">
        <w:t>, apresentando redução de 17,7% em relação ao exercício anterior, situando-se abaixo da meta orçamentária projetada.</w:t>
      </w:r>
    </w:p>
    <w:p w14:paraId="0BB2C1D2" w14:textId="77777777" w:rsidR="0088455D" w:rsidRPr="0088455D" w:rsidRDefault="0088455D" w:rsidP="0088455D">
      <w:pPr>
        <w:jc w:val="both"/>
        <w:rPr>
          <w:b/>
          <w:bCs/>
        </w:rPr>
      </w:pPr>
      <w:r w:rsidRPr="0088455D">
        <w:rPr>
          <w:b/>
          <w:bCs/>
        </w:rPr>
        <w:t>5. PERSPECTIVAS ESTRATÉGICAS</w:t>
      </w:r>
    </w:p>
    <w:p w14:paraId="63C23BE0" w14:textId="77777777" w:rsidR="0088455D" w:rsidRPr="0088455D" w:rsidRDefault="0088455D" w:rsidP="0088455D">
      <w:pPr>
        <w:jc w:val="both"/>
      </w:pPr>
      <w:r w:rsidRPr="0088455D">
        <w:t xml:space="preserve">Para o próximo exercício, a GOIÁSFOMENTO reafirma seu compromisso com o desenvolvimento socioeconômico do Estado de Goiás. A estratégia contempla a expansão do </w:t>
      </w:r>
      <w:r w:rsidRPr="0088455D">
        <w:rPr>
          <w:i/>
          <w:iCs/>
        </w:rPr>
        <w:t>market share</w:t>
      </w:r>
      <w:r w:rsidRPr="0088455D">
        <w:t xml:space="preserve"> nos segmentos de MPME e Produtor Rural, sustentada pela implementação de um </w:t>
      </w:r>
      <w:r w:rsidRPr="0088455D">
        <w:rPr>
          <w:i/>
          <w:iCs/>
        </w:rPr>
        <w:t>hub</w:t>
      </w:r>
      <w:r w:rsidRPr="0088455D">
        <w:t xml:space="preserve"> digital de multisserviços financeiros. Tal iniciativa visa a otimização da alavancagem operacional e a diversificação do mix de receitas de serviços, garantindo a sustentabilidade financeira da Instituição.</w:t>
      </w:r>
    </w:p>
    <w:p w14:paraId="277B0965" w14:textId="77777777" w:rsidR="00711BD2" w:rsidRDefault="00711BD2" w:rsidP="0088455D">
      <w:pPr>
        <w:jc w:val="both"/>
        <w:rPr>
          <w:b/>
          <w:bCs/>
        </w:rPr>
      </w:pPr>
    </w:p>
    <w:p w14:paraId="1E8B7103" w14:textId="74F99FF9" w:rsidR="000030D5" w:rsidRDefault="0088455D" w:rsidP="0088455D">
      <w:pPr>
        <w:jc w:val="both"/>
      </w:pPr>
      <w:r w:rsidRPr="0088455D">
        <w:rPr>
          <w:b/>
          <w:bCs/>
        </w:rPr>
        <w:t>Agradecimentos</w:t>
      </w:r>
      <w:r w:rsidRPr="0088455D">
        <w:t xml:space="preserve"> </w:t>
      </w:r>
    </w:p>
    <w:p w14:paraId="2D7FEF1F" w14:textId="457E6F95" w:rsidR="0088455D" w:rsidRPr="0088455D" w:rsidRDefault="0088455D" w:rsidP="0088455D">
      <w:pPr>
        <w:jc w:val="both"/>
      </w:pPr>
      <w:r w:rsidRPr="0088455D">
        <w:t>A Diretoria Executiva expressa seu reconhecimento aos Acionistas, Conselheiros, Clientes e Colaboradores. A gestão permanece pautada pelo rigor normativo, governança corporativa e zelo pelo patrimônio público, visando a eficiência na aplicação dos recursos de fomento.</w:t>
      </w:r>
    </w:p>
    <w:p w14:paraId="2005CCE2" w14:textId="77777777" w:rsidR="000030D5" w:rsidRDefault="000030D5" w:rsidP="0088455D">
      <w:pPr>
        <w:jc w:val="both"/>
      </w:pPr>
    </w:p>
    <w:p w14:paraId="3675EB5C" w14:textId="68847559" w:rsidR="0090426C" w:rsidRPr="0090426C" w:rsidRDefault="0090426C" w:rsidP="0090426C">
      <w:pPr>
        <w:jc w:val="right"/>
      </w:pPr>
      <w:r w:rsidRPr="0090426C">
        <w:t xml:space="preserve">Goiânia (GO), </w:t>
      </w:r>
      <w:r w:rsidR="005319CD">
        <w:t>14</w:t>
      </w:r>
      <w:r w:rsidRPr="0090426C">
        <w:t xml:space="preserve"> de </w:t>
      </w:r>
      <w:r w:rsidR="005F0716">
        <w:t>abril</w:t>
      </w:r>
      <w:r w:rsidRPr="0090426C">
        <w:t xml:space="preserve"> de 202</w:t>
      </w:r>
      <w:r w:rsidR="00EB1F7E">
        <w:t>6</w:t>
      </w:r>
      <w:r w:rsidRPr="0090426C">
        <w:t>.</w:t>
      </w:r>
    </w:p>
    <w:p w14:paraId="7BA615EE" w14:textId="77777777" w:rsidR="006A2A02" w:rsidRDefault="006A2A02" w:rsidP="006A2A02">
      <w:pPr>
        <w:jc w:val="both"/>
      </w:pPr>
      <w:r>
        <w:tab/>
      </w:r>
    </w:p>
    <w:p w14:paraId="2DA449B7" w14:textId="19E24008" w:rsidR="006A2A02" w:rsidRDefault="006A2A02" w:rsidP="006A2A02">
      <w:pPr>
        <w:ind w:firstLine="708"/>
        <w:jc w:val="both"/>
      </w:pPr>
      <w:r>
        <w:t>ALAN FARIAS TAVARES</w:t>
      </w:r>
      <w:r>
        <w:tab/>
      </w:r>
      <w:r>
        <w:tab/>
      </w:r>
      <w:r>
        <w:tab/>
      </w:r>
      <w:r>
        <w:tab/>
        <w:t>RIVAEL AGUIAR PEREIRA</w:t>
      </w:r>
    </w:p>
    <w:p w14:paraId="12ACCDDF" w14:textId="3EE46264" w:rsidR="006A2A02" w:rsidRDefault="006A2A02" w:rsidP="006A2A02">
      <w:pPr>
        <w:jc w:val="both"/>
      </w:pPr>
      <w:r>
        <w:t>Presidente do Conselho de Administração</w:t>
      </w:r>
      <w:r>
        <w:tab/>
      </w:r>
      <w:r>
        <w:tab/>
        <w:t xml:space="preserve">       Diretor-Presidente</w:t>
      </w:r>
    </w:p>
    <w:p w14:paraId="0A629611" w14:textId="77777777" w:rsidR="006A2A02" w:rsidRDefault="006A2A02" w:rsidP="006A2A02">
      <w:pPr>
        <w:jc w:val="both"/>
      </w:pPr>
      <w:r>
        <w:tab/>
      </w:r>
    </w:p>
    <w:p w14:paraId="317C74D9" w14:textId="77777777" w:rsidR="006A2A02" w:rsidRDefault="006A2A02" w:rsidP="006A2A02">
      <w:pPr>
        <w:jc w:val="both"/>
      </w:pPr>
    </w:p>
    <w:p w14:paraId="7AC94201" w14:textId="77777777" w:rsidR="006A2A02" w:rsidRDefault="006A2A02" w:rsidP="006A2A02">
      <w:pPr>
        <w:jc w:val="both"/>
      </w:pPr>
    </w:p>
    <w:p w14:paraId="0323CA8B" w14:textId="56731376" w:rsidR="006A2A02" w:rsidRDefault="006A2A02" w:rsidP="006A2A02">
      <w:pPr>
        <w:jc w:val="both"/>
      </w:pPr>
      <w:r>
        <w:t>VINÍCIUS DE CECÍLIO LUZ</w:t>
      </w:r>
      <w:r>
        <w:tab/>
      </w:r>
      <w:r>
        <w:tab/>
      </w:r>
      <w:r>
        <w:tab/>
      </w:r>
      <w:r>
        <w:tab/>
        <w:t>LARA GARCIA BORGES FERREIRA</w:t>
      </w:r>
    </w:p>
    <w:p w14:paraId="6FBD4925" w14:textId="36F637C1" w:rsidR="006A2A02" w:rsidRDefault="006A2A02" w:rsidP="006A2A02">
      <w:pPr>
        <w:jc w:val="both"/>
      </w:pPr>
      <w:r>
        <w:t xml:space="preserve">     Diretor de Operações</w:t>
      </w:r>
      <w:r>
        <w:tab/>
      </w:r>
      <w:r>
        <w:tab/>
      </w:r>
      <w:r>
        <w:tab/>
        <w:t xml:space="preserve">            Diretora Administrativo e Financeira</w:t>
      </w:r>
    </w:p>
    <w:sectPr w:rsidR="006A2A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7271" w14:textId="77777777" w:rsidR="00436AE5" w:rsidRDefault="00436AE5" w:rsidP="00581692">
      <w:pPr>
        <w:spacing w:after="0" w:line="240" w:lineRule="auto"/>
      </w:pPr>
      <w:r>
        <w:separator/>
      </w:r>
    </w:p>
  </w:endnote>
  <w:endnote w:type="continuationSeparator" w:id="0">
    <w:p w14:paraId="54FF9581" w14:textId="77777777" w:rsidR="00436AE5" w:rsidRDefault="00436AE5" w:rsidP="0058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8323" w14:textId="77777777" w:rsidR="00436AE5" w:rsidRDefault="00436AE5" w:rsidP="00581692">
      <w:pPr>
        <w:spacing w:after="0" w:line="240" w:lineRule="auto"/>
      </w:pPr>
      <w:r>
        <w:separator/>
      </w:r>
    </w:p>
  </w:footnote>
  <w:footnote w:type="continuationSeparator" w:id="0">
    <w:p w14:paraId="3506C517" w14:textId="77777777" w:rsidR="00436AE5" w:rsidRDefault="00436AE5" w:rsidP="0058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1648" w14:textId="78FCFA71" w:rsidR="00581692" w:rsidRPr="00581692" w:rsidRDefault="00581692" w:rsidP="00581692">
    <w:pPr>
      <w:pStyle w:val="Cabealho"/>
      <w:jc w:val="center"/>
    </w:pPr>
    <w:r w:rsidRPr="00581692">
      <w:rPr>
        <w:noProof/>
      </w:rPr>
      <w:drawing>
        <wp:inline distT="0" distB="0" distL="0" distR="0" wp14:anchorId="1C20AF7F" wp14:editId="13A4976B">
          <wp:extent cx="2456822" cy="900797"/>
          <wp:effectExtent l="0" t="0" r="635" b="0"/>
          <wp:docPr id="1850480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80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2222" cy="91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3CFBB" w14:textId="77777777" w:rsidR="00581692" w:rsidRDefault="00581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8A6"/>
    <w:multiLevelType w:val="multilevel"/>
    <w:tmpl w:val="50D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E6178"/>
    <w:multiLevelType w:val="multilevel"/>
    <w:tmpl w:val="291C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8795">
    <w:abstractNumId w:val="0"/>
  </w:num>
  <w:num w:numId="2" w16cid:durableId="4884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6C"/>
    <w:rsid w:val="000030D5"/>
    <w:rsid w:val="000212CC"/>
    <w:rsid w:val="00073A47"/>
    <w:rsid w:val="000A5B52"/>
    <w:rsid w:val="000B64B6"/>
    <w:rsid w:val="000C00CD"/>
    <w:rsid w:val="000E0166"/>
    <w:rsid w:val="001611F5"/>
    <w:rsid w:val="001626E5"/>
    <w:rsid w:val="001E13E2"/>
    <w:rsid w:val="001E6AE4"/>
    <w:rsid w:val="001F69A9"/>
    <w:rsid w:val="0020442E"/>
    <w:rsid w:val="00210530"/>
    <w:rsid w:val="002122FA"/>
    <w:rsid w:val="00223223"/>
    <w:rsid w:val="00242B85"/>
    <w:rsid w:val="00262722"/>
    <w:rsid w:val="002A399F"/>
    <w:rsid w:val="002C3147"/>
    <w:rsid w:val="002E4BF7"/>
    <w:rsid w:val="002F6729"/>
    <w:rsid w:val="00303A96"/>
    <w:rsid w:val="003066C1"/>
    <w:rsid w:val="003150FA"/>
    <w:rsid w:val="003C6CB0"/>
    <w:rsid w:val="003F377C"/>
    <w:rsid w:val="00436AE5"/>
    <w:rsid w:val="004671E3"/>
    <w:rsid w:val="004A51C1"/>
    <w:rsid w:val="004B6A5C"/>
    <w:rsid w:val="00507A36"/>
    <w:rsid w:val="00523D72"/>
    <w:rsid w:val="005319CD"/>
    <w:rsid w:val="005745DA"/>
    <w:rsid w:val="00581692"/>
    <w:rsid w:val="005F0716"/>
    <w:rsid w:val="0060610D"/>
    <w:rsid w:val="00620D55"/>
    <w:rsid w:val="00622D37"/>
    <w:rsid w:val="006331B9"/>
    <w:rsid w:val="00665169"/>
    <w:rsid w:val="006711E1"/>
    <w:rsid w:val="00676975"/>
    <w:rsid w:val="006A2A02"/>
    <w:rsid w:val="006F0CA1"/>
    <w:rsid w:val="006F381C"/>
    <w:rsid w:val="00711BD2"/>
    <w:rsid w:val="00793061"/>
    <w:rsid w:val="007940A5"/>
    <w:rsid w:val="007949A8"/>
    <w:rsid w:val="007D6A67"/>
    <w:rsid w:val="007E6574"/>
    <w:rsid w:val="007F641A"/>
    <w:rsid w:val="0080615C"/>
    <w:rsid w:val="0088455D"/>
    <w:rsid w:val="008B2D60"/>
    <w:rsid w:val="008B672C"/>
    <w:rsid w:val="008B7500"/>
    <w:rsid w:val="008D6148"/>
    <w:rsid w:val="008E6FCB"/>
    <w:rsid w:val="008F2107"/>
    <w:rsid w:val="0090073F"/>
    <w:rsid w:val="0090426C"/>
    <w:rsid w:val="00961833"/>
    <w:rsid w:val="00961BFA"/>
    <w:rsid w:val="00970A7F"/>
    <w:rsid w:val="00976B56"/>
    <w:rsid w:val="009A1C9B"/>
    <w:rsid w:val="009D0255"/>
    <w:rsid w:val="009E7248"/>
    <w:rsid w:val="00A07767"/>
    <w:rsid w:val="00A134DA"/>
    <w:rsid w:val="00A456B9"/>
    <w:rsid w:val="00AA7D05"/>
    <w:rsid w:val="00AB5B1B"/>
    <w:rsid w:val="00AE2F8F"/>
    <w:rsid w:val="00AF5EC9"/>
    <w:rsid w:val="00B923F2"/>
    <w:rsid w:val="00BA43D7"/>
    <w:rsid w:val="00BB0FAF"/>
    <w:rsid w:val="00C00932"/>
    <w:rsid w:val="00C02126"/>
    <w:rsid w:val="00C2532F"/>
    <w:rsid w:val="00C316D7"/>
    <w:rsid w:val="00C57010"/>
    <w:rsid w:val="00C84BBD"/>
    <w:rsid w:val="00CB5C1D"/>
    <w:rsid w:val="00CB609A"/>
    <w:rsid w:val="00CC552D"/>
    <w:rsid w:val="00CD09C1"/>
    <w:rsid w:val="00CE1A39"/>
    <w:rsid w:val="00CE6ED5"/>
    <w:rsid w:val="00CE77EF"/>
    <w:rsid w:val="00D312F8"/>
    <w:rsid w:val="00D4154E"/>
    <w:rsid w:val="00D47C49"/>
    <w:rsid w:val="00D53D1C"/>
    <w:rsid w:val="00D611E8"/>
    <w:rsid w:val="00D62651"/>
    <w:rsid w:val="00DA0E9B"/>
    <w:rsid w:val="00DE6D68"/>
    <w:rsid w:val="00E421F0"/>
    <w:rsid w:val="00EA161A"/>
    <w:rsid w:val="00EB1F7E"/>
    <w:rsid w:val="00F038EA"/>
    <w:rsid w:val="00F157FA"/>
    <w:rsid w:val="00F167F0"/>
    <w:rsid w:val="00F3283B"/>
    <w:rsid w:val="00F40018"/>
    <w:rsid w:val="00F8348F"/>
    <w:rsid w:val="00FB50A5"/>
    <w:rsid w:val="00FC1744"/>
    <w:rsid w:val="00F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6F02"/>
  <w15:chartTrackingRefBased/>
  <w15:docId w15:val="{1AF7CC91-9AB8-4F20-9DC3-59FA6811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2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2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2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4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2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4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2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26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1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692"/>
  </w:style>
  <w:style w:type="paragraph" w:styleId="Rodap">
    <w:name w:val="footer"/>
    <w:basedOn w:val="Normal"/>
    <w:link w:val="RodapChar"/>
    <w:uiPriority w:val="99"/>
    <w:unhideWhenUsed/>
    <w:rsid w:val="00581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Cesar Paiva</dc:creator>
  <cp:keywords/>
  <dc:description/>
  <cp:lastModifiedBy>Vandeir Junior Carneiro Silva</cp:lastModifiedBy>
  <cp:revision>2</cp:revision>
  <dcterms:created xsi:type="dcterms:W3CDTF">2026-04-14T19:17:00Z</dcterms:created>
  <dcterms:modified xsi:type="dcterms:W3CDTF">2026-06-18T11:59:00Z</dcterms:modified>
</cp:coreProperties>
</file>