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8F6D" w14:textId="77777777" w:rsidR="0042342D" w:rsidRDefault="0042342D" w:rsidP="0042342D">
      <w:pPr>
        <w:spacing w:after="7" w:line="259" w:lineRule="auto"/>
        <w:jc w:val="both"/>
        <w:rPr>
          <w:b/>
        </w:rPr>
      </w:pPr>
    </w:p>
    <w:p w14:paraId="3E8A01EB" w14:textId="3451219A" w:rsidR="0042342D" w:rsidRDefault="0042342D" w:rsidP="0042342D">
      <w:pPr>
        <w:spacing w:after="7" w:line="259" w:lineRule="auto"/>
        <w:jc w:val="center"/>
      </w:pPr>
      <w:r>
        <w:rPr>
          <w:b/>
        </w:rPr>
        <w:t>RELATÓRIO DA ADMINISTRAÇÃO DE 202</w:t>
      </w:r>
      <w:r w:rsidR="00DE64BE">
        <w:rPr>
          <w:b/>
        </w:rPr>
        <w:t>1</w:t>
      </w:r>
    </w:p>
    <w:p w14:paraId="4F786C7C" w14:textId="77777777" w:rsidR="0042342D" w:rsidRDefault="0042342D" w:rsidP="0042342D">
      <w:pPr>
        <w:spacing w:line="259" w:lineRule="auto"/>
        <w:jc w:val="both"/>
      </w:pPr>
      <w:r>
        <w:rPr>
          <w:b/>
        </w:rPr>
        <w:t xml:space="preserve"> </w:t>
      </w:r>
    </w:p>
    <w:p w14:paraId="04B76FCA" w14:textId="514C676F" w:rsidR="0042342D" w:rsidRDefault="0042342D" w:rsidP="001435D0">
      <w:pPr>
        <w:spacing w:line="259" w:lineRule="auto"/>
        <w:jc w:val="both"/>
      </w:pPr>
      <w:r>
        <w:rPr>
          <w:b/>
        </w:rPr>
        <w:t xml:space="preserve"> </w:t>
      </w:r>
      <w:r>
        <w:t xml:space="preserve">Senhores Acionistas, </w:t>
      </w:r>
    </w:p>
    <w:p w14:paraId="0C485DFF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7E4DA225" w14:textId="34995D36" w:rsidR="0042342D" w:rsidRDefault="0042342D" w:rsidP="0042342D">
      <w:pPr>
        <w:ind w:left="-5"/>
        <w:jc w:val="both"/>
      </w:pPr>
      <w:r>
        <w:t xml:space="preserve">Submetemos à apreciação de V.Sas., as Demonstrações Financeiras da Agência de Fomento de Goiás S/A – </w:t>
      </w:r>
      <w:r>
        <w:rPr>
          <w:b/>
        </w:rPr>
        <w:t>GOIÁSFOMENTO</w:t>
      </w:r>
      <w:r>
        <w:t xml:space="preserve"> relativas aos exercícios findos em 31 de dezembro de </w:t>
      </w:r>
      <w:r>
        <w:rPr>
          <w:b/>
        </w:rPr>
        <w:t>202</w:t>
      </w:r>
      <w:r w:rsidR="00196CB2">
        <w:rPr>
          <w:b/>
        </w:rPr>
        <w:t>1</w:t>
      </w:r>
      <w:r>
        <w:t xml:space="preserve"> e de </w:t>
      </w:r>
      <w:r>
        <w:rPr>
          <w:b/>
        </w:rPr>
        <w:t>20</w:t>
      </w:r>
      <w:r w:rsidR="00196CB2">
        <w:rPr>
          <w:b/>
        </w:rPr>
        <w:t>20</w:t>
      </w:r>
      <w:r>
        <w:t xml:space="preserve">, as quais seguem as normas estabelecidas pela Lei das Sociedades por Ações, pelo Conselho Monetário Nacional, pelo Banco Central do Brasil e pela Comissão de Valores Mobiliários. </w:t>
      </w:r>
    </w:p>
    <w:p w14:paraId="035267F8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77685C0D" w14:textId="5EE4E618" w:rsidR="00661892" w:rsidRDefault="00280DDB" w:rsidP="0042342D">
      <w:pPr>
        <w:ind w:left="-5"/>
        <w:jc w:val="both"/>
      </w:pPr>
      <w:r>
        <w:t xml:space="preserve">Em 2021, mesmo com a pandemia apresentando sinais de </w:t>
      </w:r>
      <w:r w:rsidR="00CF6AB8">
        <w:t>arr</w:t>
      </w:r>
      <w:r w:rsidR="00E61500">
        <w:t xml:space="preserve">efecimento, ainda </w:t>
      </w:r>
      <w:r w:rsidR="0064137B">
        <w:t>fo</w:t>
      </w:r>
      <w:r w:rsidR="00756FEA">
        <w:t>ram</w:t>
      </w:r>
      <w:r w:rsidR="0064137B">
        <w:t xml:space="preserve"> necessári</w:t>
      </w:r>
      <w:r w:rsidR="00C40571">
        <w:t xml:space="preserve">as </w:t>
      </w:r>
      <w:r w:rsidR="00E61500">
        <w:t xml:space="preserve">diversas ações governamentais a fim de </w:t>
      </w:r>
      <w:r w:rsidR="00661892">
        <w:t>atenuar os efeitos sobre a economia e a segurança alimentar das famílias.</w:t>
      </w:r>
    </w:p>
    <w:p w14:paraId="078F2D8A" w14:textId="77777777" w:rsidR="00C40571" w:rsidRDefault="00C40571" w:rsidP="0042342D">
      <w:pPr>
        <w:ind w:left="-5"/>
        <w:jc w:val="both"/>
      </w:pPr>
    </w:p>
    <w:p w14:paraId="0B6B58C2" w14:textId="7AFBDD79" w:rsidR="0042342D" w:rsidRDefault="00C47E2A" w:rsidP="0042342D">
      <w:pPr>
        <w:ind w:left="-5"/>
        <w:jc w:val="both"/>
      </w:pPr>
      <w:r>
        <w:t>Desempenhando importante papel nesse contexto, a</w:t>
      </w:r>
      <w:r w:rsidR="008A1796">
        <w:t xml:space="preserve"> GoiásFomento atuou na execução de </w:t>
      </w:r>
      <w:r w:rsidR="003A595B">
        <w:t>programas de transferência de renda</w:t>
      </w:r>
      <w:r w:rsidR="002D04DE">
        <w:t xml:space="preserve"> gestado pelo Governo de Goiás, especificamente na fase de desembolsos, por meio de cartão pré-pago.</w:t>
      </w:r>
      <w:r w:rsidR="00372516">
        <w:t xml:space="preserve"> Além de contribuir no fomento por meio de financiamentos produtivos às </w:t>
      </w:r>
      <w:r w:rsidR="00E94688">
        <w:t>empresas, foco principal da agência, contribuiu para transferência de renda</w:t>
      </w:r>
      <w:r w:rsidR="002D6B6F">
        <w:t xml:space="preserve"> às famílias goianas, com desembolsos</w:t>
      </w:r>
      <w:r w:rsidR="006F071F">
        <w:t xml:space="preserve"> </w:t>
      </w:r>
      <w:r w:rsidR="006F071F" w:rsidRPr="00C15E65">
        <w:rPr>
          <w:b/>
          <w:bCs/>
        </w:rPr>
        <w:t xml:space="preserve">em </w:t>
      </w:r>
      <w:proofErr w:type="gramStart"/>
      <w:r w:rsidR="006F071F" w:rsidRPr="00C15E65">
        <w:rPr>
          <w:b/>
          <w:bCs/>
        </w:rPr>
        <w:t>todos programas</w:t>
      </w:r>
      <w:proofErr w:type="gramEnd"/>
      <w:r w:rsidR="006F071F" w:rsidRPr="00C15E65">
        <w:rPr>
          <w:b/>
          <w:bCs/>
        </w:rPr>
        <w:t xml:space="preserve"> sociais</w:t>
      </w:r>
      <w:r w:rsidR="00F87E68" w:rsidRPr="00C15E65">
        <w:rPr>
          <w:b/>
          <w:bCs/>
        </w:rPr>
        <w:t xml:space="preserve"> operacionalizados por meio da GoiásFomento</w:t>
      </w:r>
      <w:r w:rsidR="006F071F">
        <w:t>, somaram</w:t>
      </w:r>
      <w:r w:rsidR="002D6B6F">
        <w:t xml:space="preserve"> </w:t>
      </w:r>
      <w:r w:rsidR="002D6B6F" w:rsidRPr="00612F67">
        <w:rPr>
          <w:b/>
          <w:bCs/>
        </w:rPr>
        <w:t>R$</w:t>
      </w:r>
      <w:r w:rsidR="006F071F" w:rsidRPr="006F071F">
        <w:rPr>
          <w:b/>
          <w:bCs/>
        </w:rPr>
        <w:t xml:space="preserve"> 62.769.158,99 </w:t>
      </w:r>
      <w:r w:rsidR="006F071F" w:rsidRPr="006F071F">
        <w:t>(sessenta e dois milhões, setecentos e sessenta e nove mil, cento e cinquenta e oito reais e noventa e nove centavos)</w:t>
      </w:r>
      <w:r w:rsidR="00612F67">
        <w:t>.</w:t>
      </w:r>
      <w:r w:rsidR="00BA5B0C">
        <w:t xml:space="preserve"> </w:t>
      </w:r>
      <w:r w:rsidR="00BA5B0C" w:rsidRPr="00896590">
        <w:t xml:space="preserve">Essa </w:t>
      </w:r>
      <w:r w:rsidR="0042342D" w:rsidRPr="00896590">
        <w:t xml:space="preserve">injeção de recursos </w:t>
      </w:r>
      <w:r w:rsidR="00BA5B0C" w:rsidRPr="00896590">
        <w:t>na economia</w:t>
      </w:r>
      <w:r w:rsidR="00A341F4" w:rsidRPr="00896590">
        <w:t>, além de</w:t>
      </w:r>
      <w:r w:rsidR="0042342D" w:rsidRPr="00896590">
        <w:t xml:space="preserve"> </w:t>
      </w:r>
      <w:r w:rsidR="00541D65" w:rsidRPr="00896590">
        <w:t>recupera</w:t>
      </w:r>
      <w:r w:rsidR="00A341F4" w:rsidRPr="00896590">
        <w:t>r</w:t>
      </w:r>
      <w:r w:rsidR="0042342D" w:rsidRPr="00896590">
        <w:t xml:space="preserve"> parte </w:t>
      </w:r>
      <w:r w:rsidR="00A341F4" w:rsidRPr="00896590">
        <w:t>d</w:t>
      </w:r>
      <w:r w:rsidR="0042342D" w:rsidRPr="00896590">
        <w:t xml:space="preserve">a capacidade de consumo das famílias de baixa renda, </w:t>
      </w:r>
      <w:r w:rsidR="00350248" w:rsidRPr="00896590">
        <w:t>contrib</w:t>
      </w:r>
      <w:r w:rsidR="00DE3A34">
        <w:t>uíram de certo modo</w:t>
      </w:r>
      <w:r w:rsidR="00350248" w:rsidRPr="00896590">
        <w:t xml:space="preserve"> para o bom funcionamento da economia</w:t>
      </w:r>
      <w:r w:rsidR="00DE3A34">
        <w:t xml:space="preserve">, em especial, </w:t>
      </w:r>
      <w:proofErr w:type="gramStart"/>
      <w:r w:rsidR="00DE3A34">
        <w:t>aos micro</w:t>
      </w:r>
      <w:proofErr w:type="gramEnd"/>
      <w:r w:rsidR="00DE3A34">
        <w:t xml:space="preserve"> e pequenos empreendimentos</w:t>
      </w:r>
      <w:r w:rsidR="00896590" w:rsidRPr="00896590">
        <w:t>.</w:t>
      </w:r>
    </w:p>
    <w:p w14:paraId="3038BEC8" w14:textId="77777777" w:rsidR="0042342D" w:rsidRDefault="0042342D" w:rsidP="0042342D">
      <w:pPr>
        <w:ind w:left="-5"/>
        <w:jc w:val="both"/>
      </w:pPr>
    </w:p>
    <w:p w14:paraId="0BFBC0E3" w14:textId="045A9CFC" w:rsidR="0042342D" w:rsidRDefault="0042342D" w:rsidP="0042342D">
      <w:pPr>
        <w:ind w:left="-5"/>
        <w:jc w:val="both"/>
      </w:pPr>
      <w:r>
        <w:t>Alinhada às políticas públicas de manutenção do emprego e da renda</w:t>
      </w:r>
      <w:r w:rsidR="00975892">
        <w:t xml:space="preserve"> geridas pelo Governo de Goiás</w:t>
      </w:r>
      <w:r>
        <w:t xml:space="preserve">, </w:t>
      </w:r>
      <w:r w:rsidR="00975892">
        <w:t xml:space="preserve">a </w:t>
      </w:r>
      <w:r>
        <w:t xml:space="preserve">GoiásFomento aderiu às ações de combate aos efeitos nocivos à economia, com adoção de diversas medidas, dentre elas, a </w:t>
      </w:r>
      <w:r w:rsidR="00DE3A34">
        <w:t>concessão</w:t>
      </w:r>
      <w:r>
        <w:t xml:space="preserve"> de financiamentos </w:t>
      </w:r>
      <w:r w:rsidR="00263B7C">
        <w:t>no microcrédito</w:t>
      </w:r>
      <w:r>
        <w:t xml:space="preserve">, a renegociação </w:t>
      </w:r>
      <w:r w:rsidR="00263B7C">
        <w:t>de crédito</w:t>
      </w:r>
      <w:r w:rsidR="00294265">
        <w:t xml:space="preserve"> inadimplidos</w:t>
      </w:r>
      <w:r>
        <w:t xml:space="preserve">, contribuindo com o fluxo de caixa nas microempresas e empresas de pequeno porte. </w:t>
      </w:r>
    </w:p>
    <w:p w14:paraId="54237E92" w14:textId="77777777" w:rsidR="0042342D" w:rsidRDefault="0042342D" w:rsidP="0042342D">
      <w:pPr>
        <w:ind w:left="-5"/>
        <w:jc w:val="both"/>
      </w:pPr>
    </w:p>
    <w:p w14:paraId="70BB8EC6" w14:textId="77777777" w:rsidR="0042342D" w:rsidRDefault="0042342D" w:rsidP="0042342D">
      <w:pPr>
        <w:ind w:left="-5"/>
        <w:jc w:val="both"/>
      </w:pPr>
    </w:p>
    <w:p w14:paraId="66614175" w14:textId="77777777" w:rsidR="0042342D" w:rsidRDefault="0042342D" w:rsidP="0042342D">
      <w:pPr>
        <w:spacing w:after="4" w:line="259" w:lineRule="auto"/>
        <w:ind w:left="-5"/>
        <w:jc w:val="both"/>
      </w:pPr>
      <w:r>
        <w:rPr>
          <w:b/>
        </w:rPr>
        <w:t>1. RESULTADOS DO EXERCÍCIO</w:t>
      </w:r>
    </w:p>
    <w:p w14:paraId="3C190556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7F3E2D42" w14:textId="77777777" w:rsidR="00B20FA1" w:rsidRDefault="005679CF" w:rsidP="00B20FA1">
      <w:pPr>
        <w:ind w:left="-5"/>
        <w:jc w:val="both"/>
      </w:pPr>
      <w:r>
        <w:t>O</w:t>
      </w:r>
      <w:r w:rsidR="0042342D">
        <w:t xml:space="preserve"> </w:t>
      </w:r>
      <w:r w:rsidR="0042342D" w:rsidRPr="007D2331">
        <w:rPr>
          <w:b/>
          <w:bCs/>
        </w:rPr>
        <w:t>lucro líquido</w:t>
      </w:r>
      <w:r w:rsidR="0042342D">
        <w:t xml:space="preserve"> alcançado em </w:t>
      </w:r>
      <w:r w:rsidR="0042342D" w:rsidRPr="003E4B0D">
        <w:rPr>
          <w:b/>
          <w:bCs/>
        </w:rPr>
        <w:t>20</w:t>
      </w:r>
      <w:r w:rsidR="0042342D">
        <w:rPr>
          <w:b/>
          <w:bCs/>
        </w:rPr>
        <w:t>2</w:t>
      </w:r>
      <w:r>
        <w:rPr>
          <w:b/>
          <w:bCs/>
        </w:rPr>
        <w:t>1</w:t>
      </w:r>
      <w:r w:rsidR="0042342D">
        <w:t xml:space="preserve"> foi de </w:t>
      </w:r>
      <w:r w:rsidR="00A96CAE">
        <w:rPr>
          <w:b/>
          <w:bCs/>
        </w:rPr>
        <w:t>R$ 342 mil</w:t>
      </w:r>
      <w:r w:rsidR="0042342D" w:rsidRPr="00707490">
        <w:t xml:space="preserve">, </w:t>
      </w:r>
      <w:r w:rsidR="00240CC3">
        <w:t>enquanto a obt</w:t>
      </w:r>
      <w:r w:rsidR="00707490" w:rsidRPr="00707490">
        <w:t>ido em 2020</w:t>
      </w:r>
      <w:r w:rsidR="00240CC3">
        <w:t xml:space="preserve"> foi de </w:t>
      </w:r>
      <w:r w:rsidR="00240CC3" w:rsidRPr="00B001AB">
        <w:rPr>
          <w:b/>
          <w:bCs/>
        </w:rPr>
        <w:t xml:space="preserve">R$ </w:t>
      </w:r>
      <w:r w:rsidR="00B001AB" w:rsidRPr="00B001AB">
        <w:rPr>
          <w:b/>
          <w:bCs/>
        </w:rPr>
        <w:t>2,4 milhões</w:t>
      </w:r>
      <w:r w:rsidR="00707490" w:rsidRPr="00707490">
        <w:t xml:space="preserve">, conforme </w:t>
      </w:r>
      <w:r w:rsidR="0042342D" w:rsidRPr="00707490">
        <w:t>demonstra</w:t>
      </w:r>
      <w:r w:rsidR="002C7B51">
        <w:t>ções</w:t>
      </w:r>
      <w:r w:rsidR="0042342D" w:rsidRPr="00707490">
        <w:t>.</w:t>
      </w:r>
    </w:p>
    <w:p w14:paraId="3C82E5CC" w14:textId="77777777" w:rsidR="00B20FA1" w:rsidRDefault="00B20FA1" w:rsidP="00B20FA1">
      <w:pPr>
        <w:ind w:left="-5"/>
        <w:jc w:val="both"/>
      </w:pPr>
    </w:p>
    <w:p w14:paraId="360CBFF6" w14:textId="6F5F0A0A" w:rsidR="00E1087D" w:rsidRDefault="00E1087D" w:rsidP="00B20FA1">
      <w:pPr>
        <w:ind w:left="-5"/>
        <w:jc w:val="both"/>
      </w:pPr>
      <w:r>
        <w:t xml:space="preserve">Uma das principais causas de redução no lucro líquido, foram as </w:t>
      </w:r>
      <w:r w:rsidRPr="00B20FA1">
        <w:rPr>
          <w:b/>
          <w:bCs/>
        </w:rPr>
        <w:t>despesas com provisões para devedores duvidosos</w:t>
      </w:r>
      <w:r>
        <w:t xml:space="preserve">, </w:t>
      </w:r>
      <w:r w:rsidR="00FA1C1D">
        <w:t>sendo</w:t>
      </w:r>
      <w:r>
        <w:t xml:space="preserve"> </w:t>
      </w:r>
      <w:r w:rsidRPr="00E1087D">
        <w:rPr>
          <w:b/>
          <w:bCs/>
        </w:rPr>
        <w:t>R$ 3,5 milhões</w:t>
      </w:r>
      <w:r>
        <w:t xml:space="preserve"> maiores em relação ao ano anterior, </w:t>
      </w:r>
      <w:r w:rsidR="00FA1C1D">
        <w:t>em face das dificuldades econômicas provocadas pelas restrições durante a pandemia da COVID-19.</w:t>
      </w:r>
      <w:r w:rsidR="00B20FA1">
        <w:t xml:space="preserve"> </w:t>
      </w:r>
      <w:r w:rsidR="00C92541">
        <w:t>N</w:t>
      </w:r>
      <w:r>
        <w:t>o exercício</w:t>
      </w:r>
      <w:r w:rsidR="00C92541">
        <w:t>, essa despesa somou</w:t>
      </w:r>
      <w:r>
        <w:t xml:space="preserve"> </w:t>
      </w:r>
      <w:r w:rsidRPr="00084847">
        <w:rPr>
          <w:b/>
          <w:bCs/>
        </w:rPr>
        <w:t>R$ 10,5 milhões</w:t>
      </w:r>
      <w:r>
        <w:t xml:space="preserve"> enquanto em 2020, foi de </w:t>
      </w:r>
      <w:r w:rsidRPr="00084847">
        <w:rPr>
          <w:b/>
          <w:bCs/>
        </w:rPr>
        <w:t>R$ 7,0 milhões</w:t>
      </w:r>
      <w:r>
        <w:t xml:space="preserve">, ou seja, </w:t>
      </w:r>
      <w:r w:rsidRPr="00084847">
        <w:rPr>
          <w:b/>
          <w:bCs/>
        </w:rPr>
        <w:t>R$</w:t>
      </w:r>
      <w:r>
        <w:rPr>
          <w:b/>
        </w:rPr>
        <w:t xml:space="preserve"> 3,5 milhões </w:t>
      </w:r>
      <w:r>
        <w:rPr>
          <w:bCs/>
        </w:rPr>
        <w:t>maior</w:t>
      </w:r>
      <w:r>
        <w:t>.</w:t>
      </w:r>
    </w:p>
    <w:p w14:paraId="2C112236" w14:textId="285A3FC5" w:rsidR="00B20FA1" w:rsidRDefault="00B20FA1" w:rsidP="00B20FA1">
      <w:pPr>
        <w:ind w:left="-5"/>
        <w:jc w:val="both"/>
      </w:pPr>
    </w:p>
    <w:p w14:paraId="294D2D5A" w14:textId="05E06A7F" w:rsidR="00B20FA1" w:rsidRPr="00DB113A" w:rsidRDefault="00BB0BFF" w:rsidP="00B20FA1">
      <w:pPr>
        <w:ind w:left="-5"/>
        <w:jc w:val="both"/>
      </w:pPr>
      <w:r>
        <w:lastRenderedPageBreak/>
        <w:t>Na</w:t>
      </w:r>
      <w:r w:rsidR="00B20FA1">
        <w:t xml:space="preserve"> </w:t>
      </w:r>
      <w:r w:rsidR="00B20FA1" w:rsidRPr="000509D7">
        <w:rPr>
          <w:b/>
          <w:bCs/>
        </w:rPr>
        <w:t>despesa com pessoal</w:t>
      </w:r>
      <w:r w:rsidR="00B20FA1">
        <w:t xml:space="preserve">, embora maior </w:t>
      </w:r>
      <w:r w:rsidR="00B20FA1" w:rsidRPr="000509D7">
        <w:rPr>
          <w:b/>
          <w:bCs/>
        </w:rPr>
        <w:t>R$ 2,5 milhões</w:t>
      </w:r>
      <w:r w:rsidR="00B20FA1">
        <w:t xml:space="preserve"> em relação ao exercício anterior, </w:t>
      </w:r>
      <w:r w:rsidR="000509D7">
        <w:t xml:space="preserve">apenas </w:t>
      </w:r>
      <w:r w:rsidR="00FB4D6C" w:rsidRPr="00FB4D6C">
        <w:rPr>
          <w:b/>
          <w:bCs/>
        </w:rPr>
        <w:t>0,83%</w:t>
      </w:r>
      <w:r w:rsidR="00FB4D6C">
        <w:t xml:space="preserve"> foi aumento real, visto que, da </w:t>
      </w:r>
      <w:r w:rsidR="00FB4D6C" w:rsidRPr="00DB113A">
        <w:t xml:space="preserve">variação de </w:t>
      </w:r>
      <w:r w:rsidR="00FB4D6C" w:rsidRPr="00DB113A">
        <w:rPr>
          <w:b/>
          <w:bCs/>
        </w:rPr>
        <w:t>11,3%</w:t>
      </w:r>
      <w:r w:rsidRPr="00DB113A">
        <w:t xml:space="preserve"> </w:t>
      </w:r>
      <w:r w:rsidR="00742C45" w:rsidRPr="00DB113A">
        <w:t>n</w:t>
      </w:r>
      <w:r w:rsidRPr="00DB113A">
        <w:t>o exercício de 2021</w:t>
      </w:r>
      <w:r w:rsidR="00FB4D6C" w:rsidRPr="00DB113A">
        <w:t xml:space="preserve">, </w:t>
      </w:r>
      <w:r w:rsidR="00FB4D6C" w:rsidRPr="00DB113A">
        <w:rPr>
          <w:b/>
          <w:bCs/>
        </w:rPr>
        <w:t>1</w:t>
      </w:r>
      <w:r w:rsidR="00060AD9" w:rsidRPr="00DB113A">
        <w:rPr>
          <w:b/>
          <w:bCs/>
        </w:rPr>
        <w:t>0</w:t>
      </w:r>
      <w:r w:rsidR="00FB4D6C" w:rsidRPr="00DB113A">
        <w:rPr>
          <w:b/>
          <w:bCs/>
        </w:rPr>
        <w:t>,97%</w:t>
      </w:r>
      <w:r w:rsidR="00FB4D6C" w:rsidRPr="00DB113A">
        <w:t xml:space="preserve"> </w:t>
      </w:r>
      <w:r w:rsidRPr="00DB113A">
        <w:t>foi</w:t>
      </w:r>
      <w:r w:rsidR="00FB4D6C" w:rsidRPr="00DB113A">
        <w:t xml:space="preserve"> correção salarial da categoria dos bancários</w:t>
      </w:r>
      <w:r w:rsidR="00B14ECD" w:rsidRPr="00DB113A">
        <w:t xml:space="preserve">, dos quais, </w:t>
      </w:r>
      <w:r w:rsidR="00B14ECD" w:rsidRPr="00DB113A">
        <w:rPr>
          <w:b/>
          <w:bCs/>
        </w:rPr>
        <w:t>10,47%</w:t>
      </w:r>
      <w:r w:rsidR="00B14ECD" w:rsidRPr="00DB113A">
        <w:t xml:space="preserve"> foi inflação</w:t>
      </w:r>
      <w:r w:rsidR="00FB4D6C" w:rsidRPr="00DB113A">
        <w:t>.</w:t>
      </w:r>
    </w:p>
    <w:p w14:paraId="7550C119" w14:textId="77777777" w:rsidR="00E1087D" w:rsidRPr="00DB113A" w:rsidRDefault="00E1087D" w:rsidP="0042342D">
      <w:pPr>
        <w:spacing w:line="259" w:lineRule="auto"/>
        <w:jc w:val="both"/>
      </w:pPr>
    </w:p>
    <w:p w14:paraId="2788088B" w14:textId="08A65031" w:rsidR="0042342D" w:rsidRDefault="0042342D" w:rsidP="0042342D">
      <w:pPr>
        <w:spacing w:line="259" w:lineRule="auto"/>
        <w:jc w:val="both"/>
      </w:pPr>
      <w:r w:rsidRPr="00DB113A">
        <w:t xml:space="preserve">O </w:t>
      </w:r>
      <w:r w:rsidRPr="00DB113A">
        <w:rPr>
          <w:b/>
        </w:rPr>
        <w:t>saldo da provisão para devedores duvidosos</w:t>
      </w:r>
      <w:r w:rsidRPr="00DB113A">
        <w:t xml:space="preserve"> variou de </w:t>
      </w:r>
      <w:r w:rsidRPr="00DB113A">
        <w:rPr>
          <w:b/>
        </w:rPr>
        <w:t>R$</w:t>
      </w:r>
      <w:r>
        <w:rPr>
          <w:b/>
        </w:rPr>
        <w:t xml:space="preserve"> </w:t>
      </w:r>
      <w:r w:rsidR="002A0CFB">
        <w:rPr>
          <w:b/>
        </w:rPr>
        <w:t>7</w:t>
      </w:r>
      <w:r>
        <w:rPr>
          <w:b/>
        </w:rPr>
        <w:t>,</w:t>
      </w:r>
      <w:r w:rsidR="002A0CFB">
        <w:rPr>
          <w:b/>
        </w:rPr>
        <w:t>4</w:t>
      </w:r>
      <w:r>
        <w:t xml:space="preserve"> em 31/12/20</w:t>
      </w:r>
      <w:r w:rsidR="002A0CFB">
        <w:t>20</w:t>
      </w:r>
      <w:r>
        <w:t xml:space="preserve"> para </w:t>
      </w:r>
      <w:r w:rsidRPr="00023BFC">
        <w:rPr>
          <w:b/>
          <w:bCs/>
        </w:rPr>
        <w:t xml:space="preserve">R$ </w:t>
      </w:r>
      <w:r w:rsidR="00D022BE">
        <w:rPr>
          <w:b/>
          <w:bCs/>
        </w:rPr>
        <w:t>12,3</w:t>
      </w:r>
      <w:r w:rsidRPr="00023BFC">
        <w:rPr>
          <w:b/>
          <w:bCs/>
        </w:rPr>
        <w:t xml:space="preserve"> milhões</w:t>
      </w:r>
      <w:r>
        <w:t xml:space="preserve"> em 31/12/202</w:t>
      </w:r>
      <w:r w:rsidR="002A0CFB">
        <w:t>1</w:t>
      </w:r>
      <w:r>
        <w:t xml:space="preserve">. </w:t>
      </w:r>
      <w:r w:rsidR="00D022BE">
        <w:t xml:space="preserve">O crescimento </w:t>
      </w:r>
      <w:r w:rsidR="0083038E">
        <w:t xml:space="preserve">pouco </w:t>
      </w:r>
      <w:r w:rsidR="00123F40">
        <w:t xml:space="preserve">maior, </w:t>
      </w:r>
      <w:r w:rsidR="00D022BE">
        <w:t>proporcional</w:t>
      </w:r>
      <w:r w:rsidR="00123F40">
        <w:t xml:space="preserve"> </w:t>
      </w:r>
      <w:r w:rsidR="00EC066A">
        <w:t xml:space="preserve">ao </w:t>
      </w:r>
      <w:r w:rsidR="00123F40">
        <w:t xml:space="preserve">crescimento </w:t>
      </w:r>
      <w:r w:rsidR="00EC066A">
        <w:t>d</w:t>
      </w:r>
      <w:r>
        <w:t xml:space="preserve">a carteira de crédito, </w:t>
      </w:r>
      <w:r w:rsidR="00EC066A">
        <w:t>ficando os índices de provisão em</w:t>
      </w:r>
      <w:r>
        <w:t xml:space="preserve"> </w:t>
      </w:r>
      <w:r w:rsidR="00EC066A">
        <w:rPr>
          <w:b/>
          <w:bCs/>
        </w:rPr>
        <w:t>5</w:t>
      </w:r>
      <w:r>
        <w:t xml:space="preserve"> </w:t>
      </w:r>
      <w:r w:rsidR="00EC066A">
        <w:t>e</w:t>
      </w:r>
      <w:r>
        <w:t xml:space="preserve"> </w:t>
      </w:r>
      <w:r w:rsidR="00EC066A">
        <w:rPr>
          <w:b/>
          <w:bCs/>
        </w:rPr>
        <w:t>7,6%,</w:t>
      </w:r>
      <w:r>
        <w:t xml:space="preserve"> no final do</w:t>
      </w:r>
      <w:r w:rsidR="00EC066A">
        <w:t>s</w:t>
      </w:r>
      <w:r w:rsidR="0083038E">
        <w:t xml:space="preserve"> respectivos</w:t>
      </w:r>
      <w:r>
        <w:t xml:space="preserve"> exercício</w:t>
      </w:r>
      <w:r w:rsidR="00EC066A">
        <w:t>s</w:t>
      </w:r>
      <w:r>
        <w:t>.</w:t>
      </w:r>
    </w:p>
    <w:p w14:paraId="6984378F" w14:textId="44D39A45" w:rsidR="00084847" w:rsidRDefault="00084847" w:rsidP="0042342D">
      <w:pPr>
        <w:ind w:left="-5"/>
        <w:jc w:val="both"/>
      </w:pPr>
    </w:p>
    <w:p w14:paraId="250059E0" w14:textId="747DE88E" w:rsidR="00390DD0" w:rsidRDefault="00F0401D" w:rsidP="00F0401D">
      <w:pPr>
        <w:ind w:left="-5"/>
        <w:jc w:val="both"/>
      </w:pPr>
      <w:r>
        <w:t>1. RESULTADOS ECONÔMICO-FINANCEIROS E OPERACIONAIS:</w:t>
      </w:r>
    </w:p>
    <w:p w14:paraId="11C99272" w14:textId="77777777" w:rsidR="00390DD0" w:rsidRDefault="00390DD0" w:rsidP="0042342D">
      <w:pPr>
        <w:ind w:left="-5"/>
        <w:jc w:val="both"/>
      </w:pPr>
    </w:p>
    <w:p w14:paraId="26CBE1D4" w14:textId="0CAE73C7" w:rsidR="00524EB5" w:rsidRDefault="00F0401D" w:rsidP="0042342D">
      <w:pPr>
        <w:ind w:left="-5"/>
        <w:jc w:val="both"/>
      </w:pPr>
      <w:r>
        <w:t>INDICADORES</w:t>
      </w:r>
    </w:p>
    <w:p w14:paraId="1B9C438E" w14:textId="54D86325" w:rsidR="00F0401D" w:rsidRDefault="00F0401D" w:rsidP="0042342D">
      <w:pPr>
        <w:ind w:left="-5"/>
        <w:jc w:val="both"/>
      </w:pPr>
    </w:p>
    <w:tbl>
      <w:tblPr>
        <w:tblW w:w="84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8"/>
        <w:gridCol w:w="1559"/>
        <w:gridCol w:w="1559"/>
        <w:gridCol w:w="1559"/>
      </w:tblGrid>
      <w:tr w:rsidR="00F0401D" w:rsidRPr="00F0401D" w14:paraId="14AB50BB" w14:textId="77777777" w:rsidTr="00A26B9B">
        <w:trPr>
          <w:trHeight w:val="28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8A54" w14:textId="696738E0" w:rsidR="00F0401D" w:rsidRPr="00F0401D" w:rsidRDefault="00F0401D" w:rsidP="006C7AAF">
            <w:pPr>
              <w:pStyle w:val="Contedodatabe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01D">
              <w:rPr>
                <w:rFonts w:ascii="Arial" w:hAnsi="Arial" w:cs="Arial"/>
                <w:b/>
                <w:bCs/>
                <w:sz w:val="20"/>
                <w:szCs w:val="20"/>
              </w:rPr>
              <w:t>RESULTADOS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7D26" w14:textId="676824C2" w:rsidR="00F0401D" w:rsidRPr="00F0401D" w:rsidRDefault="00F0401D" w:rsidP="006C7AAF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01D">
              <w:rPr>
                <w:rFonts w:ascii="Arial" w:hAnsi="Arial" w:cs="Arial"/>
                <w:b/>
                <w:bCs/>
                <w:sz w:val="20"/>
                <w:szCs w:val="20"/>
              </w:rPr>
              <w:t>EXERCÍCIO 2021</w:t>
            </w:r>
          </w:p>
          <w:p w14:paraId="041D0355" w14:textId="77777777" w:rsidR="00F0401D" w:rsidRPr="008F5B4C" w:rsidRDefault="00F0401D" w:rsidP="006C7AAF">
            <w:pPr>
              <w:pStyle w:val="Contedodatabela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F5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(Em R$ 1.000)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14:paraId="68159643" w14:textId="304CCE37" w:rsidR="00F0401D" w:rsidRPr="00F0401D" w:rsidRDefault="00F0401D" w:rsidP="006C7AAF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01D">
              <w:rPr>
                <w:rFonts w:ascii="Arial" w:hAnsi="Arial" w:cs="Arial"/>
                <w:b/>
                <w:bCs/>
                <w:sz w:val="20"/>
                <w:szCs w:val="20"/>
              </w:rPr>
              <w:t>EXERCÍCIO DE 2020</w:t>
            </w:r>
          </w:p>
          <w:p w14:paraId="1F3285FF" w14:textId="77777777" w:rsidR="00F0401D" w:rsidRPr="008F5B4C" w:rsidRDefault="00F0401D" w:rsidP="006C7AAF">
            <w:pPr>
              <w:pStyle w:val="Contedodatabela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F5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(Em R$ 1.000)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4BC9B5E7" w14:textId="7721D012" w:rsidR="00F0401D" w:rsidRDefault="001F0125" w:rsidP="006C7AAF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VARIAÇÃO</w:t>
            </w:r>
          </w:p>
          <w:p w14:paraId="73C16C37" w14:textId="77777777" w:rsidR="00B96F2C" w:rsidRDefault="00B96F2C" w:rsidP="006C7AAF">
            <w:pPr>
              <w:pStyle w:val="Contedodatabela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04B5290" w14:textId="67383E78" w:rsidR="00B96F2C" w:rsidRPr="00F0401D" w:rsidRDefault="00B96F2C" w:rsidP="006C7AAF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B4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(Em R$ 1.000)</w:t>
            </w:r>
          </w:p>
        </w:tc>
      </w:tr>
      <w:tr w:rsidR="00F0401D" w:rsidRPr="00F0401D" w14:paraId="184705AA" w14:textId="77777777" w:rsidTr="00A26B9B">
        <w:trPr>
          <w:trHeight w:val="21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D780" w14:textId="77777777" w:rsidR="00F0401D" w:rsidRPr="00F0401D" w:rsidRDefault="00F0401D" w:rsidP="006C7AAF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F0401D">
              <w:rPr>
                <w:rFonts w:ascii="Arial" w:hAnsi="Arial" w:cs="Arial"/>
                <w:sz w:val="20"/>
                <w:szCs w:val="20"/>
              </w:rPr>
              <w:t>Receitas Operacionais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A80" w14:textId="10EB0C2D" w:rsidR="00F0401D" w:rsidRPr="00F0401D" w:rsidRDefault="008F5B4C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52.496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14:paraId="4595F8C3" w14:textId="5AB50984" w:rsidR="00F0401D" w:rsidRPr="00F0401D" w:rsidRDefault="00093B47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47.665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14:paraId="257518D9" w14:textId="7DCBC092" w:rsidR="00F0401D" w:rsidRPr="00F0401D" w:rsidRDefault="00DA20EE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4.831</w:t>
            </w:r>
          </w:p>
        </w:tc>
      </w:tr>
      <w:tr w:rsidR="00F0401D" w:rsidRPr="00F0401D" w14:paraId="4A99C242" w14:textId="77777777" w:rsidTr="00A26B9B">
        <w:trPr>
          <w:trHeight w:val="176"/>
        </w:trPr>
        <w:tc>
          <w:tcPr>
            <w:tcW w:w="37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77B11383" w14:textId="77777777" w:rsidR="00F0401D" w:rsidRPr="00F0401D" w:rsidRDefault="00F0401D" w:rsidP="006C7AAF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F0401D">
              <w:rPr>
                <w:rFonts w:ascii="Arial" w:hAnsi="Arial" w:cs="Arial"/>
                <w:sz w:val="20"/>
                <w:szCs w:val="20"/>
              </w:rPr>
              <w:t>Resultados Prestação de Serviços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F4670BD" w14:textId="69240500" w:rsidR="00F0401D" w:rsidRPr="00F0401D" w:rsidRDefault="00093B47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16.705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C5FEF15" w14:textId="42040994" w:rsidR="00F0401D" w:rsidRPr="00F0401D" w:rsidRDefault="00093B47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17.557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3CC19" w14:textId="4347DF6C" w:rsidR="00F0401D" w:rsidRPr="00F0401D" w:rsidRDefault="00DA20EE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(853)</w:t>
            </w:r>
          </w:p>
        </w:tc>
      </w:tr>
      <w:tr w:rsidR="00F0401D" w:rsidRPr="00F0401D" w14:paraId="10A92035" w14:textId="77777777" w:rsidTr="00A26B9B">
        <w:trPr>
          <w:trHeight w:val="251"/>
        </w:trPr>
        <w:tc>
          <w:tcPr>
            <w:tcW w:w="3768" w:type="dxa"/>
            <w:tcBorders>
              <w:left w:val="single" w:sz="1" w:space="0" w:color="000000"/>
              <w:bottom w:val="single" w:sz="1" w:space="0" w:color="000000"/>
            </w:tcBorders>
          </w:tcPr>
          <w:p w14:paraId="07BE3C77" w14:textId="77777777" w:rsidR="00F0401D" w:rsidRPr="00F0401D" w:rsidRDefault="00F0401D" w:rsidP="006C7AAF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F0401D">
              <w:rPr>
                <w:rFonts w:ascii="Arial" w:hAnsi="Arial" w:cs="Arial"/>
                <w:sz w:val="20"/>
                <w:szCs w:val="20"/>
              </w:rPr>
              <w:t>Resultados Operacionais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8225695" w14:textId="369B4003" w:rsidR="00F0401D" w:rsidRPr="00F0401D" w:rsidRDefault="00093B47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8605231" w14:textId="2D6CF5FC" w:rsidR="00F0401D" w:rsidRPr="00F0401D" w:rsidRDefault="00093B47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3.472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E0741" w14:textId="4FD01B49" w:rsidR="00F0401D" w:rsidRPr="00F0401D" w:rsidRDefault="00DA20EE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(3.321)</w:t>
            </w:r>
          </w:p>
        </w:tc>
      </w:tr>
      <w:tr w:rsidR="00F0401D" w:rsidRPr="00F0401D" w14:paraId="621A3333" w14:textId="77777777" w:rsidTr="00A26B9B">
        <w:trPr>
          <w:trHeight w:val="171"/>
        </w:trPr>
        <w:tc>
          <w:tcPr>
            <w:tcW w:w="3768" w:type="dxa"/>
            <w:tcBorders>
              <w:left w:val="single" w:sz="1" w:space="0" w:color="000000"/>
              <w:bottom w:val="single" w:sz="1" w:space="0" w:color="000000"/>
            </w:tcBorders>
          </w:tcPr>
          <w:p w14:paraId="434551B1" w14:textId="290D2560" w:rsidR="00F0401D" w:rsidRPr="00F0401D" w:rsidRDefault="00F0401D" w:rsidP="006C7AAF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F0401D">
              <w:rPr>
                <w:rFonts w:ascii="Arial" w:hAnsi="Arial" w:cs="Arial"/>
                <w:sz w:val="20"/>
                <w:szCs w:val="20"/>
              </w:rPr>
              <w:t xml:space="preserve">Lucro Líquido Antes </w:t>
            </w:r>
            <w:r w:rsidR="00093B47">
              <w:rPr>
                <w:rFonts w:ascii="Arial" w:hAnsi="Arial" w:cs="Arial"/>
                <w:sz w:val="20"/>
                <w:szCs w:val="20"/>
              </w:rPr>
              <w:t>de Tributação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555BD53B" w14:textId="581BE332" w:rsidR="00F0401D" w:rsidRPr="00F0401D" w:rsidRDefault="00093B47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F1021C8" w14:textId="6DFB7D45" w:rsidR="00F0401D" w:rsidRPr="00F0401D" w:rsidRDefault="00093B47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3.962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CDE54" w14:textId="5980E1EA" w:rsidR="00F0401D" w:rsidRPr="00F0401D" w:rsidRDefault="00DA20EE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(3.714)</w:t>
            </w:r>
          </w:p>
        </w:tc>
      </w:tr>
      <w:tr w:rsidR="00093B47" w:rsidRPr="00F0401D" w14:paraId="05B56C68" w14:textId="77777777" w:rsidTr="00A26B9B">
        <w:trPr>
          <w:trHeight w:val="171"/>
        </w:trPr>
        <w:tc>
          <w:tcPr>
            <w:tcW w:w="3768" w:type="dxa"/>
            <w:tcBorders>
              <w:left w:val="single" w:sz="1" w:space="0" w:color="000000"/>
              <w:bottom w:val="single" w:sz="1" w:space="0" w:color="000000"/>
            </w:tcBorders>
          </w:tcPr>
          <w:p w14:paraId="1B659F8F" w14:textId="12D2EC93" w:rsidR="00093B47" w:rsidRPr="00F0401D" w:rsidRDefault="00093B47" w:rsidP="006C7AAF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PRINCIPAIS DESPESAS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4A6F13D" w14:textId="77777777" w:rsidR="00093B47" w:rsidRPr="00F0401D" w:rsidRDefault="00093B47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3818528" w14:textId="77777777" w:rsidR="00093B47" w:rsidRPr="00F0401D" w:rsidRDefault="00093B47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E1AC3" w14:textId="77777777" w:rsidR="00093B47" w:rsidRPr="00F0401D" w:rsidRDefault="00093B47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B47" w:rsidRPr="00093B47" w14:paraId="61164E79" w14:textId="77777777" w:rsidTr="00A26B9B">
        <w:trPr>
          <w:trHeight w:val="171"/>
        </w:trPr>
        <w:tc>
          <w:tcPr>
            <w:tcW w:w="3768" w:type="dxa"/>
            <w:tcBorders>
              <w:left w:val="single" w:sz="1" w:space="0" w:color="000000"/>
              <w:bottom w:val="single" w:sz="1" w:space="0" w:color="000000"/>
            </w:tcBorders>
          </w:tcPr>
          <w:p w14:paraId="0973FA3B" w14:textId="3C06D0B0" w:rsidR="00093B47" w:rsidRPr="00093B47" w:rsidRDefault="00D342A2" w:rsidP="006C7AAF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Provisão para Devedores Duvidosos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1535AD0" w14:textId="0B8AF856" w:rsidR="00093B47" w:rsidRPr="00093B47" w:rsidRDefault="00D342A2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10.532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5CFABF0" w14:textId="1DE917D0" w:rsidR="00093B47" w:rsidRPr="00093B47" w:rsidRDefault="00D342A2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7.033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3EFE0" w14:textId="3ECDB3BB" w:rsidR="00093B47" w:rsidRPr="00093B47" w:rsidRDefault="00DA20EE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3.515</w:t>
            </w:r>
          </w:p>
        </w:tc>
      </w:tr>
      <w:tr w:rsidR="00093B47" w:rsidRPr="00093B47" w14:paraId="6F916AC6" w14:textId="77777777" w:rsidTr="00A26B9B">
        <w:trPr>
          <w:trHeight w:val="171"/>
        </w:trPr>
        <w:tc>
          <w:tcPr>
            <w:tcW w:w="3768" w:type="dxa"/>
            <w:tcBorders>
              <w:left w:val="single" w:sz="1" w:space="0" w:color="000000"/>
              <w:bottom w:val="single" w:sz="1" w:space="0" w:color="000000"/>
            </w:tcBorders>
          </w:tcPr>
          <w:p w14:paraId="37763002" w14:textId="6D5EF3BA" w:rsidR="00093B47" w:rsidRPr="00093B47" w:rsidRDefault="00D342A2" w:rsidP="006C7AAF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Despesas de Pessoal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C1C92F8" w14:textId="0EB424D4" w:rsidR="00093B47" w:rsidRPr="00093B47" w:rsidRDefault="00D342A2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F3F108D" w14:textId="456FD3F7" w:rsidR="00093B47" w:rsidRPr="00093B47" w:rsidRDefault="00D342A2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21.841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F6F9" w14:textId="5407E115" w:rsidR="00093B47" w:rsidRPr="00093B47" w:rsidRDefault="00060B32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2.468</w:t>
            </w:r>
          </w:p>
        </w:tc>
      </w:tr>
      <w:tr w:rsidR="00F0401D" w:rsidRPr="00F0401D" w14:paraId="0694FA1B" w14:textId="77777777" w:rsidTr="00A26B9B">
        <w:trPr>
          <w:trHeight w:val="119"/>
        </w:trPr>
        <w:tc>
          <w:tcPr>
            <w:tcW w:w="3768" w:type="dxa"/>
            <w:tcBorders>
              <w:left w:val="single" w:sz="1" w:space="0" w:color="000000"/>
              <w:bottom w:val="single" w:sz="1" w:space="0" w:color="000000"/>
            </w:tcBorders>
          </w:tcPr>
          <w:p w14:paraId="222B20F1" w14:textId="77777777" w:rsidR="00F0401D" w:rsidRPr="00F0401D" w:rsidRDefault="00F0401D" w:rsidP="006C7AAF">
            <w:pPr>
              <w:pStyle w:val="Contedodatabe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01D">
              <w:rPr>
                <w:rFonts w:ascii="Arial" w:hAnsi="Arial" w:cs="Arial"/>
                <w:b/>
                <w:bCs/>
                <w:sz w:val="20"/>
                <w:szCs w:val="20"/>
              </w:rPr>
              <w:t>BALANÇO PATRIMONIAL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B9B893A" w14:textId="77777777" w:rsidR="00F0401D" w:rsidRPr="00F0401D" w:rsidRDefault="00F0401D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8EC6171" w14:textId="77777777" w:rsidR="00F0401D" w:rsidRPr="00F0401D" w:rsidRDefault="00F0401D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31121" w14:textId="77777777" w:rsidR="00F0401D" w:rsidRPr="00F0401D" w:rsidRDefault="00F0401D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1D" w:rsidRPr="00F0401D" w14:paraId="1EE472AF" w14:textId="77777777" w:rsidTr="00A26B9B">
        <w:trPr>
          <w:trHeight w:val="209"/>
        </w:trPr>
        <w:tc>
          <w:tcPr>
            <w:tcW w:w="3768" w:type="dxa"/>
            <w:tcBorders>
              <w:left w:val="single" w:sz="1" w:space="0" w:color="000000"/>
              <w:bottom w:val="single" w:sz="1" w:space="0" w:color="000000"/>
            </w:tcBorders>
          </w:tcPr>
          <w:p w14:paraId="1C4B8C7E" w14:textId="77777777" w:rsidR="00F0401D" w:rsidRPr="00F0401D" w:rsidRDefault="00F0401D" w:rsidP="006C7AAF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F0401D">
              <w:rPr>
                <w:rFonts w:ascii="Arial" w:hAnsi="Arial" w:cs="Arial"/>
                <w:sz w:val="20"/>
                <w:szCs w:val="20"/>
              </w:rPr>
              <w:t>Ativos Totais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9597779" w14:textId="404AE8DC" w:rsidR="00F0401D" w:rsidRPr="00F0401D" w:rsidRDefault="00134107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291.026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8490B31" w14:textId="3602B957" w:rsidR="00F0401D" w:rsidRPr="00F0401D" w:rsidRDefault="00134107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307.909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0D0D" w14:textId="06AC8424" w:rsidR="00F0401D" w:rsidRPr="00F0401D" w:rsidRDefault="000C2ACE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(16.883)</w:t>
            </w:r>
          </w:p>
        </w:tc>
      </w:tr>
      <w:tr w:rsidR="00F0401D" w:rsidRPr="00F0401D" w14:paraId="5C377EE5" w14:textId="77777777" w:rsidTr="00A26B9B">
        <w:trPr>
          <w:trHeight w:val="258"/>
        </w:trPr>
        <w:tc>
          <w:tcPr>
            <w:tcW w:w="3768" w:type="dxa"/>
            <w:tcBorders>
              <w:left w:val="single" w:sz="1" w:space="0" w:color="000000"/>
              <w:bottom w:val="single" w:sz="1" w:space="0" w:color="000000"/>
            </w:tcBorders>
          </w:tcPr>
          <w:p w14:paraId="3D105793" w14:textId="77777777" w:rsidR="00F0401D" w:rsidRPr="00F0401D" w:rsidRDefault="00F0401D" w:rsidP="006C7AAF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F0401D">
              <w:rPr>
                <w:rFonts w:ascii="Arial" w:hAnsi="Arial" w:cs="Arial"/>
                <w:sz w:val="20"/>
                <w:szCs w:val="20"/>
              </w:rPr>
              <w:t>Operações de Crédito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6FC7E7D" w14:textId="199D3A9D" w:rsidR="00F0401D" w:rsidRPr="00F0401D" w:rsidRDefault="00DE0DB4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161.944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F8D6452" w14:textId="21936951" w:rsidR="00F0401D" w:rsidRPr="00F0401D" w:rsidRDefault="00DE0DB4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148.066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4846" w14:textId="5DC6D5D4" w:rsidR="00F0401D" w:rsidRPr="00F0401D" w:rsidRDefault="000C2ACE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13.878</w:t>
            </w:r>
          </w:p>
        </w:tc>
      </w:tr>
      <w:tr w:rsidR="00F0401D" w:rsidRPr="00F0401D" w14:paraId="1A1A255B" w14:textId="77777777" w:rsidTr="00A26B9B">
        <w:trPr>
          <w:trHeight w:val="177"/>
        </w:trPr>
        <w:tc>
          <w:tcPr>
            <w:tcW w:w="3768" w:type="dxa"/>
            <w:tcBorders>
              <w:left w:val="single" w:sz="1" w:space="0" w:color="000000"/>
              <w:bottom w:val="single" w:sz="1" w:space="0" w:color="000000"/>
            </w:tcBorders>
          </w:tcPr>
          <w:p w14:paraId="580BEC62" w14:textId="77777777" w:rsidR="00F0401D" w:rsidRPr="00F0401D" w:rsidRDefault="00F0401D" w:rsidP="006C7AAF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F0401D">
              <w:rPr>
                <w:rFonts w:ascii="Arial" w:hAnsi="Arial" w:cs="Arial"/>
                <w:sz w:val="20"/>
                <w:szCs w:val="20"/>
              </w:rPr>
              <w:t>Patrimônio Líquido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5C785998" w14:textId="2A176457" w:rsidR="00F0401D" w:rsidRPr="00F0401D" w:rsidRDefault="00DE0DB4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197.118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10120EF0" w14:textId="253D8164" w:rsidR="00F0401D" w:rsidRPr="00F0401D" w:rsidRDefault="00DE0DB4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197.725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3C430" w14:textId="71228666" w:rsidR="00F0401D" w:rsidRPr="00F0401D" w:rsidRDefault="000C2ACE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(607)</w:t>
            </w:r>
          </w:p>
        </w:tc>
      </w:tr>
      <w:tr w:rsidR="00F0401D" w:rsidRPr="00F0401D" w14:paraId="6B72A9FF" w14:textId="77777777" w:rsidTr="00A26B9B">
        <w:trPr>
          <w:trHeight w:val="111"/>
        </w:trPr>
        <w:tc>
          <w:tcPr>
            <w:tcW w:w="3768" w:type="dxa"/>
            <w:tcBorders>
              <w:left w:val="single" w:sz="1" w:space="0" w:color="000000"/>
              <w:bottom w:val="single" w:sz="1" w:space="0" w:color="000000"/>
            </w:tcBorders>
          </w:tcPr>
          <w:p w14:paraId="7817C535" w14:textId="77777777" w:rsidR="00F0401D" w:rsidRPr="00F0401D" w:rsidRDefault="00F0401D" w:rsidP="006C7AAF">
            <w:pPr>
              <w:pStyle w:val="Contedodatabe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01D">
              <w:rPr>
                <w:rFonts w:ascii="Arial" w:hAnsi="Arial" w:cs="Arial"/>
                <w:b/>
                <w:bCs/>
                <w:sz w:val="20"/>
                <w:szCs w:val="20"/>
              </w:rPr>
              <w:t>INDICADOR FINANCEIRO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2F58873" w14:textId="77777777" w:rsidR="00F0401D" w:rsidRPr="00F0401D" w:rsidRDefault="00F0401D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08089E7" w14:textId="77777777" w:rsidR="00F0401D" w:rsidRPr="00F0401D" w:rsidRDefault="00F0401D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52DC" w14:textId="77777777" w:rsidR="00F0401D" w:rsidRPr="00F0401D" w:rsidRDefault="00F0401D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1D" w:rsidRPr="00F0401D" w14:paraId="1E4904D5" w14:textId="77777777" w:rsidTr="00A26B9B">
        <w:trPr>
          <w:trHeight w:val="59"/>
        </w:trPr>
        <w:tc>
          <w:tcPr>
            <w:tcW w:w="3768" w:type="dxa"/>
            <w:tcBorders>
              <w:left w:val="single" w:sz="1" w:space="0" w:color="000000"/>
              <w:bottom w:val="single" w:sz="1" w:space="0" w:color="000000"/>
            </w:tcBorders>
          </w:tcPr>
          <w:p w14:paraId="28F080F1" w14:textId="77777777" w:rsidR="00F0401D" w:rsidRPr="00940222" w:rsidRDefault="00F0401D" w:rsidP="006C7AAF">
            <w:pPr>
              <w:pStyle w:val="Contedodatabela"/>
              <w:rPr>
                <w:rFonts w:ascii="Arial" w:hAnsi="Arial" w:cs="Arial"/>
                <w:sz w:val="20"/>
                <w:szCs w:val="20"/>
              </w:rPr>
            </w:pPr>
            <w:r w:rsidRPr="00940222">
              <w:rPr>
                <w:rFonts w:ascii="Arial" w:hAnsi="Arial" w:cs="Arial"/>
                <w:sz w:val="20"/>
                <w:szCs w:val="20"/>
              </w:rPr>
              <w:t>Índice de Lucratividade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2D8F6735" w14:textId="089B5CBC" w:rsidR="00F0401D" w:rsidRPr="00940222" w:rsidRDefault="00940222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0222">
              <w:rPr>
                <w:rFonts w:ascii="Arial" w:hAnsi="Arial" w:cs="Arial"/>
                <w:sz w:val="20"/>
                <w:szCs w:val="20"/>
              </w:rPr>
              <w:t>0,47</w:t>
            </w:r>
            <w:r w:rsidR="00F0401D" w:rsidRPr="0094022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17724EF" w14:textId="6D781327" w:rsidR="00F0401D" w:rsidRPr="00940222" w:rsidRDefault="00940222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0222">
              <w:rPr>
                <w:rFonts w:ascii="Arial" w:hAnsi="Arial" w:cs="Arial"/>
                <w:sz w:val="20"/>
                <w:szCs w:val="20"/>
              </w:rPr>
              <w:t>8,31</w:t>
            </w:r>
            <w:r w:rsidR="00F0401D" w:rsidRPr="0094022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0C603" w14:textId="79B9E06A" w:rsidR="00F0401D" w:rsidRPr="00940222" w:rsidRDefault="00940222" w:rsidP="006C7AAF">
            <w:pPr>
              <w:pStyle w:val="Contedodatabel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(7,84</w:t>
            </w:r>
            <w:r w:rsidR="00067831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C606400" w14:textId="77777777" w:rsidR="00F0401D" w:rsidRDefault="00F0401D" w:rsidP="0042342D">
      <w:pPr>
        <w:ind w:left="-5"/>
        <w:jc w:val="both"/>
      </w:pPr>
    </w:p>
    <w:p w14:paraId="0E666196" w14:textId="77777777" w:rsidR="00F0401D" w:rsidRDefault="00F0401D" w:rsidP="0042342D">
      <w:pPr>
        <w:ind w:left="-5"/>
        <w:jc w:val="both"/>
      </w:pPr>
    </w:p>
    <w:p w14:paraId="61C9E1FD" w14:textId="0E799635" w:rsidR="0042342D" w:rsidRDefault="0042342D" w:rsidP="0042342D">
      <w:pPr>
        <w:ind w:left="-5"/>
        <w:jc w:val="both"/>
      </w:pPr>
      <w:r>
        <w:t xml:space="preserve">Os </w:t>
      </w:r>
      <w:r>
        <w:rPr>
          <w:b/>
        </w:rPr>
        <w:t>ativos totais</w:t>
      </w:r>
      <w:r>
        <w:t xml:space="preserve"> tiveram </w:t>
      </w:r>
      <w:r w:rsidR="006E233F">
        <w:t>redução</w:t>
      </w:r>
      <w:r>
        <w:t xml:space="preserve"> de </w:t>
      </w:r>
      <w:r w:rsidR="006E233F">
        <w:rPr>
          <w:b/>
        </w:rPr>
        <w:t>5,5</w:t>
      </w:r>
      <w:r w:rsidRPr="00EA069B">
        <w:rPr>
          <w:b/>
        </w:rPr>
        <w:t>%</w:t>
      </w:r>
      <w:r>
        <w:t xml:space="preserve"> quando comparado ao exercício anterior, saindo de </w:t>
      </w:r>
      <w:r w:rsidRPr="00BC7AD2">
        <w:rPr>
          <w:b/>
          <w:bCs/>
        </w:rPr>
        <w:t xml:space="preserve">R$ </w:t>
      </w:r>
      <w:r w:rsidR="00DB24DC">
        <w:rPr>
          <w:b/>
          <w:bCs/>
        </w:rPr>
        <w:t>307,9</w:t>
      </w:r>
      <w:r>
        <w:t xml:space="preserve"> </w:t>
      </w:r>
      <w:r w:rsidRPr="00BC7AD2">
        <w:rPr>
          <w:b/>
          <w:bCs/>
        </w:rPr>
        <w:t>milhões</w:t>
      </w:r>
      <w:r>
        <w:t xml:space="preserve"> para </w:t>
      </w:r>
      <w:r w:rsidRPr="00BC7AD2">
        <w:rPr>
          <w:b/>
          <w:bCs/>
        </w:rPr>
        <w:t xml:space="preserve">R$ </w:t>
      </w:r>
      <w:r w:rsidR="00DB24DC" w:rsidRPr="00BC7AD2">
        <w:rPr>
          <w:b/>
          <w:bCs/>
        </w:rPr>
        <w:t>2</w:t>
      </w:r>
      <w:r w:rsidR="000E6A11">
        <w:rPr>
          <w:b/>
          <w:bCs/>
        </w:rPr>
        <w:t>91</w:t>
      </w:r>
      <w:r>
        <w:t xml:space="preserve"> milhões, ficando </w:t>
      </w:r>
      <w:r w:rsidRPr="00202633">
        <w:rPr>
          <w:b/>
          <w:bCs/>
        </w:rPr>
        <w:t xml:space="preserve">R$ </w:t>
      </w:r>
      <w:r w:rsidR="0013006D">
        <w:rPr>
          <w:b/>
          <w:bCs/>
        </w:rPr>
        <w:t>1</w:t>
      </w:r>
      <w:r>
        <w:rPr>
          <w:b/>
          <w:bCs/>
        </w:rPr>
        <w:t>6</w:t>
      </w:r>
      <w:r w:rsidR="0013006D">
        <w:rPr>
          <w:b/>
          <w:bCs/>
        </w:rPr>
        <w:t>,9</w:t>
      </w:r>
      <w:r w:rsidRPr="00202633">
        <w:rPr>
          <w:b/>
          <w:bCs/>
        </w:rPr>
        <w:t xml:space="preserve"> milhões</w:t>
      </w:r>
      <w:r>
        <w:t xml:space="preserve"> </w:t>
      </w:r>
      <w:r w:rsidR="0013006D">
        <w:t>menor</w:t>
      </w:r>
      <w:r>
        <w:t>, principalmente</w:t>
      </w:r>
      <w:r w:rsidR="00440DEF">
        <w:t>,</w:t>
      </w:r>
      <w:r>
        <w:t xml:space="preserve"> pelas </w:t>
      </w:r>
      <w:r w:rsidR="00C806FD">
        <w:t xml:space="preserve">amortizações das </w:t>
      </w:r>
      <w:r>
        <w:t xml:space="preserve">captações de recursos </w:t>
      </w:r>
      <w:r w:rsidR="00C806FD">
        <w:t xml:space="preserve">junto </w:t>
      </w:r>
      <w:r w:rsidR="003D55FD">
        <w:t>à</w:t>
      </w:r>
      <w:r>
        <w:t xml:space="preserve"> Caixa Econômica</w:t>
      </w:r>
      <w:r w:rsidR="006D1CDA">
        <w:t xml:space="preserve"> Federal</w:t>
      </w:r>
      <w:r>
        <w:t xml:space="preserve"> no âmbito do PMNPO e do FUNGETUR. Da mesma forma,</w:t>
      </w:r>
      <w:r w:rsidR="00514AF4">
        <w:t xml:space="preserve"> o</w:t>
      </w:r>
      <w:r>
        <w:t xml:space="preserve"> </w:t>
      </w:r>
      <w:r>
        <w:rPr>
          <w:b/>
        </w:rPr>
        <w:t>patrimônio líquido</w:t>
      </w:r>
      <w:r>
        <w:t xml:space="preserve"> passou de </w:t>
      </w:r>
      <w:r w:rsidRPr="00AD39F4">
        <w:rPr>
          <w:b/>
          <w:bCs/>
        </w:rPr>
        <w:t xml:space="preserve">R$ </w:t>
      </w:r>
      <w:r>
        <w:rPr>
          <w:b/>
          <w:bCs/>
        </w:rPr>
        <w:t>19</w:t>
      </w:r>
      <w:r w:rsidR="007A3270">
        <w:rPr>
          <w:b/>
          <w:bCs/>
        </w:rPr>
        <w:t>7</w:t>
      </w:r>
      <w:r>
        <w:rPr>
          <w:b/>
          <w:bCs/>
        </w:rPr>
        <w:t>,</w:t>
      </w:r>
      <w:r w:rsidR="00D0086B">
        <w:rPr>
          <w:b/>
          <w:bCs/>
        </w:rPr>
        <w:t>7</w:t>
      </w:r>
      <w:r>
        <w:t xml:space="preserve"> para </w:t>
      </w:r>
      <w:r w:rsidRPr="00AD39F4">
        <w:rPr>
          <w:b/>
          <w:bCs/>
        </w:rPr>
        <w:t>R$ 19</w:t>
      </w:r>
      <w:r>
        <w:rPr>
          <w:b/>
          <w:bCs/>
        </w:rPr>
        <w:t>7</w:t>
      </w:r>
      <w:r w:rsidRPr="00AD39F4">
        <w:rPr>
          <w:b/>
          <w:bCs/>
        </w:rPr>
        <w:t>,</w:t>
      </w:r>
      <w:r w:rsidR="00D0086B">
        <w:rPr>
          <w:b/>
          <w:bCs/>
        </w:rPr>
        <w:t>1</w:t>
      </w:r>
      <w:r>
        <w:rPr>
          <w:b/>
          <w:bCs/>
        </w:rPr>
        <w:t>,</w:t>
      </w:r>
      <w:r>
        <w:t xml:space="preserve"> </w:t>
      </w:r>
      <w:r w:rsidR="006C5DB2">
        <w:t xml:space="preserve">com </w:t>
      </w:r>
      <w:r w:rsidR="003D55FD">
        <w:t xml:space="preserve">redução </w:t>
      </w:r>
      <w:r>
        <w:t xml:space="preserve">de </w:t>
      </w:r>
      <w:r w:rsidR="003D55FD">
        <w:rPr>
          <w:b/>
        </w:rPr>
        <w:t>0</w:t>
      </w:r>
      <w:r>
        <w:rPr>
          <w:b/>
        </w:rPr>
        <w:t>,</w:t>
      </w:r>
      <w:r w:rsidR="003D55FD">
        <w:rPr>
          <w:b/>
        </w:rPr>
        <w:t>3</w:t>
      </w:r>
      <w:r>
        <w:rPr>
          <w:b/>
        </w:rPr>
        <w:t>%</w:t>
      </w:r>
      <w:r w:rsidR="006C5DB2">
        <w:rPr>
          <w:b/>
        </w:rPr>
        <w:t>.</w:t>
      </w:r>
    </w:p>
    <w:p w14:paraId="18EF8433" w14:textId="77777777" w:rsidR="0042342D" w:rsidRDefault="0042342D" w:rsidP="0042342D">
      <w:pPr>
        <w:spacing w:line="259" w:lineRule="auto"/>
        <w:jc w:val="both"/>
      </w:pPr>
    </w:p>
    <w:p w14:paraId="37AF5179" w14:textId="3A961C0F" w:rsidR="0042342D" w:rsidRPr="000374F8" w:rsidRDefault="0042342D" w:rsidP="0042342D">
      <w:pPr>
        <w:ind w:left="-5"/>
        <w:jc w:val="both"/>
        <w:rPr>
          <w:b/>
        </w:rPr>
      </w:pPr>
      <w:r>
        <w:t xml:space="preserve">Os desembolsos da </w:t>
      </w:r>
      <w:r>
        <w:rPr>
          <w:b/>
        </w:rPr>
        <w:t>GOIÁSFOMENTO</w:t>
      </w:r>
      <w:r>
        <w:t xml:space="preserve"> </w:t>
      </w:r>
      <w:r w:rsidRPr="00DB1286">
        <w:t xml:space="preserve">somaram </w:t>
      </w:r>
      <w:r w:rsidRPr="00DB1286">
        <w:rPr>
          <w:b/>
        </w:rPr>
        <w:t xml:space="preserve">R$ </w:t>
      </w:r>
      <w:r w:rsidR="00D00B2B">
        <w:rPr>
          <w:b/>
        </w:rPr>
        <w:t>64,7</w:t>
      </w:r>
      <w:r w:rsidRPr="00DB1286">
        <w:rPr>
          <w:b/>
        </w:rPr>
        <w:t xml:space="preserve"> milhões</w:t>
      </w:r>
      <w:r w:rsidRPr="00DB1286">
        <w:t xml:space="preserve"> </w:t>
      </w:r>
      <w:r w:rsidR="00287095">
        <w:t>com</w:t>
      </w:r>
      <w:r w:rsidRPr="00DB1286">
        <w:t xml:space="preserve"> </w:t>
      </w:r>
      <w:r w:rsidR="000374F8" w:rsidRPr="000374F8">
        <w:rPr>
          <w:b/>
          <w:bCs/>
        </w:rPr>
        <w:t>2</w:t>
      </w:r>
      <w:r>
        <w:rPr>
          <w:b/>
        </w:rPr>
        <w:t>.</w:t>
      </w:r>
      <w:r w:rsidR="000374F8">
        <w:rPr>
          <w:b/>
        </w:rPr>
        <w:t>967</w:t>
      </w:r>
      <w:r w:rsidRPr="00DB1286">
        <w:rPr>
          <w:b/>
        </w:rPr>
        <w:t xml:space="preserve"> </w:t>
      </w:r>
      <w:r w:rsidRPr="00DB1286">
        <w:t xml:space="preserve">operações de crédito às </w:t>
      </w:r>
      <w:r w:rsidRPr="00DB1286">
        <w:rPr>
          <w:i/>
        </w:rPr>
        <w:t>microempresas, empresas de pequeno e médio porte</w:t>
      </w:r>
      <w:r w:rsidRPr="00DB1286">
        <w:t xml:space="preserve">, </w:t>
      </w:r>
      <w:r w:rsidRPr="00DB1286">
        <w:rPr>
          <w:i/>
        </w:rPr>
        <w:t>microempreendedores individuais</w:t>
      </w:r>
      <w:r w:rsidRPr="00DB1286">
        <w:t xml:space="preserve"> e </w:t>
      </w:r>
      <w:r w:rsidRPr="00DB1286">
        <w:rPr>
          <w:i/>
        </w:rPr>
        <w:t>autônomos</w:t>
      </w:r>
      <w:r w:rsidRPr="00DB1286">
        <w:t>. Não houve</w:t>
      </w:r>
      <w:r>
        <w:t xml:space="preserve"> desembolsos nas operações de repasses do </w:t>
      </w:r>
      <w:r w:rsidRPr="00BA467E">
        <w:rPr>
          <w:b/>
        </w:rPr>
        <w:t>BNDES</w:t>
      </w:r>
      <w:r>
        <w:t xml:space="preserve"> e </w:t>
      </w:r>
      <w:r w:rsidRPr="00BA467E">
        <w:rPr>
          <w:b/>
        </w:rPr>
        <w:t>FINEP</w:t>
      </w:r>
      <w:r>
        <w:t xml:space="preserve">. Em relação ao ano anterior o volume de desembolsos </w:t>
      </w:r>
      <w:r>
        <w:lastRenderedPageBreak/>
        <w:t xml:space="preserve">foi </w:t>
      </w:r>
      <w:r w:rsidR="000374F8">
        <w:rPr>
          <w:b/>
          <w:bCs/>
        </w:rPr>
        <w:t>25</w:t>
      </w:r>
      <w:r w:rsidRPr="00E37D00">
        <w:rPr>
          <w:b/>
        </w:rPr>
        <w:t>%</w:t>
      </w:r>
      <w:r>
        <w:rPr>
          <w:b/>
        </w:rPr>
        <w:t xml:space="preserve"> </w:t>
      </w:r>
      <w:r>
        <w:rPr>
          <w:bCs/>
        </w:rPr>
        <w:t>m</w:t>
      </w:r>
      <w:r w:rsidR="000374F8">
        <w:rPr>
          <w:bCs/>
        </w:rPr>
        <w:t>enor</w:t>
      </w:r>
      <w:r>
        <w:rPr>
          <w:bCs/>
        </w:rPr>
        <w:t>,</w:t>
      </w:r>
      <w:r w:rsidR="000374F8">
        <w:rPr>
          <w:bCs/>
        </w:rPr>
        <w:t xml:space="preserve"> porém,</w:t>
      </w:r>
      <w:r>
        <w:rPr>
          <w:bCs/>
        </w:rPr>
        <w:t xml:space="preserve"> </w:t>
      </w:r>
      <w:r w:rsidR="000374F8">
        <w:rPr>
          <w:bCs/>
        </w:rPr>
        <w:t>em</w:t>
      </w:r>
      <w:r>
        <w:rPr>
          <w:bCs/>
        </w:rPr>
        <w:t xml:space="preserve"> relação ao número de contratos, foi </w:t>
      </w:r>
      <w:r w:rsidR="000374F8">
        <w:rPr>
          <w:b/>
        </w:rPr>
        <w:t>70</w:t>
      </w:r>
      <w:r w:rsidRPr="006600F2">
        <w:rPr>
          <w:b/>
        </w:rPr>
        <w:t>%</w:t>
      </w:r>
      <w:r w:rsidR="000374F8" w:rsidRPr="008A47E4">
        <w:rPr>
          <w:bCs/>
        </w:rPr>
        <w:t xml:space="preserve"> maior</w:t>
      </w:r>
      <w:r w:rsidR="008A47E4" w:rsidRPr="008A47E4">
        <w:rPr>
          <w:bCs/>
        </w:rPr>
        <w:t>, em face do foco no microcrédito</w:t>
      </w:r>
      <w:r w:rsidR="006A4286">
        <w:rPr>
          <w:bCs/>
        </w:rPr>
        <w:t xml:space="preserve"> que possui </w:t>
      </w:r>
      <w:r w:rsidR="00460A2C">
        <w:rPr>
          <w:bCs/>
        </w:rPr>
        <w:t xml:space="preserve">valor médio abaixo de </w:t>
      </w:r>
      <w:r w:rsidR="00460A2C" w:rsidRPr="00316263">
        <w:rPr>
          <w:b/>
        </w:rPr>
        <w:t>R$ 21 mil</w:t>
      </w:r>
      <w:r w:rsidR="008A47E4" w:rsidRPr="008A47E4">
        <w:rPr>
          <w:bCs/>
        </w:rPr>
        <w:t>.</w:t>
      </w:r>
    </w:p>
    <w:p w14:paraId="5BD56A98" w14:textId="77777777" w:rsidR="0042342D" w:rsidRDefault="0042342D" w:rsidP="0042342D">
      <w:pPr>
        <w:ind w:left="-5"/>
        <w:jc w:val="both"/>
      </w:pPr>
    </w:p>
    <w:p w14:paraId="256728AE" w14:textId="3CFAE1B3" w:rsidR="0042342D" w:rsidRPr="00AB1FDE" w:rsidRDefault="0042342D" w:rsidP="0042342D">
      <w:pPr>
        <w:ind w:left="-5"/>
        <w:jc w:val="both"/>
      </w:pPr>
      <w:r>
        <w:t xml:space="preserve">O saldo da carteira com risco próprio (Recursos Próprios/CAIXA/FCO/BNDES /FUNGETUR), ao final do exercício de </w:t>
      </w:r>
      <w:r>
        <w:rPr>
          <w:b/>
        </w:rPr>
        <w:t>202</w:t>
      </w:r>
      <w:r w:rsidR="00374292">
        <w:rPr>
          <w:b/>
        </w:rPr>
        <w:t>1</w:t>
      </w:r>
      <w:r>
        <w:t xml:space="preserve"> ficou em </w:t>
      </w:r>
      <w:r>
        <w:rPr>
          <w:b/>
        </w:rPr>
        <w:t xml:space="preserve">R$ </w:t>
      </w:r>
      <w:r w:rsidR="009972B1">
        <w:rPr>
          <w:b/>
        </w:rPr>
        <w:t>161,9</w:t>
      </w:r>
      <w:r>
        <w:rPr>
          <w:b/>
        </w:rPr>
        <w:t xml:space="preserve"> milhões</w:t>
      </w:r>
      <w:r>
        <w:t>,</w:t>
      </w:r>
      <w:r>
        <w:rPr>
          <w:b/>
        </w:rPr>
        <w:t xml:space="preserve"> </w:t>
      </w:r>
      <w:r>
        <w:t xml:space="preserve">sendo </w:t>
      </w:r>
      <w:r>
        <w:rPr>
          <w:b/>
        </w:rPr>
        <w:t xml:space="preserve">R$ </w:t>
      </w:r>
      <w:r w:rsidR="0075281B">
        <w:rPr>
          <w:b/>
        </w:rPr>
        <w:t>13,9</w:t>
      </w:r>
      <w:r>
        <w:rPr>
          <w:b/>
        </w:rPr>
        <w:t xml:space="preserve"> milhões</w:t>
      </w:r>
      <w:r>
        <w:t xml:space="preserve"> maior em relação a 31/12/20</w:t>
      </w:r>
      <w:r w:rsidR="001F7661">
        <w:t>20</w:t>
      </w:r>
      <w:r>
        <w:t xml:space="preserve"> e</w:t>
      </w:r>
      <w:r w:rsidR="00D16716">
        <w:t xml:space="preserve">nquanto </w:t>
      </w:r>
      <w:r>
        <w:t xml:space="preserve">o número de contratos ativos aumentou para </w:t>
      </w:r>
      <w:r w:rsidR="00196A59">
        <w:rPr>
          <w:b/>
          <w:bCs/>
        </w:rPr>
        <w:t>6.659</w:t>
      </w:r>
      <w:r w:rsidRPr="00520545">
        <w:rPr>
          <w:b/>
          <w:bCs/>
        </w:rPr>
        <w:t xml:space="preserve"> contratos </w:t>
      </w:r>
      <w:r>
        <w:t xml:space="preserve">contra </w:t>
      </w:r>
      <w:r w:rsidR="00196A59" w:rsidRPr="00196A59">
        <w:rPr>
          <w:b/>
          <w:bCs/>
        </w:rPr>
        <w:t>6.340</w:t>
      </w:r>
      <w:r>
        <w:t xml:space="preserve"> em 20</w:t>
      </w:r>
      <w:r w:rsidR="00BC106D">
        <w:t>20</w:t>
      </w:r>
      <w:r w:rsidR="006818C1">
        <w:t xml:space="preserve">, com </w:t>
      </w:r>
      <w:r w:rsidR="008439D1">
        <w:t>variação</w:t>
      </w:r>
      <w:r w:rsidR="006818C1">
        <w:t xml:space="preserve"> de </w:t>
      </w:r>
      <w:r w:rsidR="006818C1" w:rsidRPr="006818C1">
        <w:rPr>
          <w:b/>
          <w:bCs/>
        </w:rPr>
        <w:t>5%</w:t>
      </w:r>
      <w:r>
        <w:t>.</w:t>
      </w:r>
    </w:p>
    <w:p w14:paraId="01905E6D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1A832C74" w14:textId="38B91A00" w:rsidR="0042342D" w:rsidRPr="0012692A" w:rsidRDefault="0042342D" w:rsidP="0042342D">
      <w:pPr>
        <w:ind w:left="-5"/>
        <w:jc w:val="both"/>
      </w:pPr>
      <w:r>
        <w:t xml:space="preserve">O saldo de recursos em </w:t>
      </w:r>
      <w:r>
        <w:rPr>
          <w:b/>
        </w:rPr>
        <w:t>tesouraria</w:t>
      </w:r>
      <w:r>
        <w:t xml:space="preserve"> </w:t>
      </w:r>
      <w:r w:rsidR="00E53997">
        <w:t>passou</w:t>
      </w:r>
      <w:r>
        <w:t xml:space="preserve"> de </w:t>
      </w:r>
      <w:r>
        <w:rPr>
          <w:b/>
        </w:rPr>
        <w:t xml:space="preserve">R$ </w:t>
      </w:r>
      <w:r w:rsidR="00657F6A">
        <w:rPr>
          <w:b/>
        </w:rPr>
        <w:t xml:space="preserve">117,4 </w:t>
      </w:r>
      <w:r>
        <w:rPr>
          <w:b/>
        </w:rPr>
        <w:t>milhões</w:t>
      </w:r>
      <w:r>
        <w:t xml:space="preserve"> </w:t>
      </w:r>
      <w:r w:rsidR="008439D1">
        <w:t xml:space="preserve">no final de 2020 </w:t>
      </w:r>
      <w:r>
        <w:t xml:space="preserve">para </w:t>
      </w:r>
      <w:r>
        <w:rPr>
          <w:b/>
        </w:rPr>
        <w:t xml:space="preserve">R$ </w:t>
      </w:r>
      <w:r w:rsidR="00B905AD">
        <w:rPr>
          <w:b/>
        </w:rPr>
        <w:t>94,0</w:t>
      </w:r>
      <w:r>
        <w:rPr>
          <w:b/>
        </w:rPr>
        <w:t xml:space="preserve"> milhões</w:t>
      </w:r>
      <w:r>
        <w:t>.</w:t>
      </w:r>
    </w:p>
    <w:p w14:paraId="354D221A" w14:textId="77777777" w:rsidR="0042342D" w:rsidRDefault="0042342D" w:rsidP="0042342D">
      <w:pPr>
        <w:spacing w:line="259" w:lineRule="auto"/>
        <w:jc w:val="both"/>
      </w:pPr>
    </w:p>
    <w:p w14:paraId="6B221B1E" w14:textId="77777777" w:rsidR="0042342D" w:rsidRDefault="0042342D" w:rsidP="0042342D">
      <w:pPr>
        <w:spacing w:line="259" w:lineRule="auto"/>
        <w:jc w:val="both"/>
      </w:pPr>
    </w:p>
    <w:p w14:paraId="16774407" w14:textId="1C201C5E" w:rsidR="0042342D" w:rsidRPr="00BE61FB" w:rsidRDefault="0042342D" w:rsidP="0042342D">
      <w:pPr>
        <w:spacing w:after="4" w:line="259" w:lineRule="auto"/>
        <w:ind w:left="-5"/>
        <w:jc w:val="both"/>
      </w:pPr>
      <w:r w:rsidRPr="00BE61FB">
        <w:rPr>
          <w:b/>
        </w:rPr>
        <w:t xml:space="preserve">2. </w:t>
      </w:r>
      <w:r w:rsidR="00FA2148">
        <w:rPr>
          <w:b/>
        </w:rPr>
        <w:t xml:space="preserve">ATUAÇÃO NO PERÍODO </w:t>
      </w:r>
      <w:r>
        <w:rPr>
          <w:b/>
        </w:rPr>
        <w:t>DA PANDEMIA</w:t>
      </w:r>
    </w:p>
    <w:p w14:paraId="78796E9F" w14:textId="1BBDAB13" w:rsidR="0042342D" w:rsidRDefault="0042342D" w:rsidP="0042342D">
      <w:pPr>
        <w:spacing w:line="259" w:lineRule="auto"/>
        <w:jc w:val="both"/>
        <w:rPr>
          <w:b/>
        </w:rPr>
      </w:pPr>
      <w:r w:rsidRPr="00BE61FB">
        <w:rPr>
          <w:b/>
        </w:rPr>
        <w:t xml:space="preserve"> </w:t>
      </w:r>
    </w:p>
    <w:p w14:paraId="42B03286" w14:textId="7A590D58" w:rsidR="005E3E2E" w:rsidRPr="005E3E2E" w:rsidRDefault="005E3E2E" w:rsidP="005E3E2E">
      <w:pPr>
        <w:spacing w:line="259" w:lineRule="auto"/>
        <w:jc w:val="both"/>
        <w:rPr>
          <w:bCs/>
        </w:rPr>
      </w:pPr>
      <w:r w:rsidRPr="005E3E2E">
        <w:rPr>
          <w:bCs/>
        </w:rPr>
        <w:t xml:space="preserve">No exercício de 2021, os agentes econômicos enfrentaram </w:t>
      </w:r>
      <w:r w:rsidR="00612537">
        <w:rPr>
          <w:bCs/>
        </w:rPr>
        <w:t xml:space="preserve">sérias e pesadas </w:t>
      </w:r>
      <w:r w:rsidRPr="005E3E2E">
        <w:rPr>
          <w:bCs/>
        </w:rPr>
        <w:t>restrições por causa da pandemia ocasionada pela COVID-19. Diversas</w:t>
      </w:r>
      <w:r>
        <w:rPr>
          <w:bCs/>
        </w:rPr>
        <w:t xml:space="preserve"> </w:t>
      </w:r>
      <w:r w:rsidRPr="005E3E2E">
        <w:rPr>
          <w:bCs/>
        </w:rPr>
        <w:t>políticas públicas foram criadas com o objetivo de atenuar os impactos negativos sobre a atividade produtiva, em especial, do micro e</w:t>
      </w:r>
      <w:r>
        <w:rPr>
          <w:bCs/>
        </w:rPr>
        <w:t xml:space="preserve"> </w:t>
      </w:r>
      <w:r w:rsidRPr="005E3E2E">
        <w:rPr>
          <w:bCs/>
        </w:rPr>
        <w:t>pequeno empreendedor. No exercício, teve início o funcionamento do FUNDEQ - Fundo de Equalização para o Empreendedor, que</w:t>
      </w:r>
      <w:r>
        <w:rPr>
          <w:bCs/>
        </w:rPr>
        <w:t xml:space="preserve"> </w:t>
      </w:r>
      <w:r w:rsidRPr="005E3E2E">
        <w:rPr>
          <w:bCs/>
        </w:rPr>
        <w:t>oferece subsídios nos juros, como também, concede aval nas operações de crédito. Esse mecanismo tem sido um facilitador na tomada</w:t>
      </w:r>
      <w:r>
        <w:rPr>
          <w:bCs/>
        </w:rPr>
        <w:t xml:space="preserve"> </w:t>
      </w:r>
      <w:r w:rsidRPr="005E3E2E">
        <w:rPr>
          <w:bCs/>
        </w:rPr>
        <w:t>de crédito por micro e pequenos empreendedores que</w:t>
      </w:r>
      <w:r w:rsidR="00F663DD">
        <w:rPr>
          <w:bCs/>
        </w:rPr>
        <w:t xml:space="preserve"> apresentam dificuldades de acessar o sistema bancário tradicional de crédito</w:t>
      </w:r>
      <w:r w:rsidRPr="005E3E2E">
        <w:rPr>
          <w:bCs/>
        </w:rPr>
        <w:t xml:space="preserve">. Somente no PEAME </w:t>
      </w:r>
      <w:r w:rsidR="00B1596D">
        <w:rPr>
          <w:bCs/>
        </w:rPr>
        <w:t>-</w:t>
      </w:r>
      <w:r w:rsidRPr="005E3E2E">
        <w:rPr>
          <w:bCs/>
        </w:rPr>
        <w:t xml:space="preserve"> Programa Emergencial de Apoio ao Microempreendedor, criado pelo </w:t>
      </w:r>
      <w:r w:rsidRPr="009B63F9">
        <w:rPr>
          <w:bCs/>
        </w:rPr>
        <w:t xml:space="preserve">Governo de Goiás, operacionalizado pela GoiásFomento, foram desembolsados mais de </w:t>
      </w:r>
      <w:r w:rsidRPr="009B63F9">
        <w:rPr>
          <w:b/>
        </w:rPr>
        <w:t xml:space="preserve">R$ </w:t>
      </w:r>
      <w:r w:rsidR="00991F8D" w:rsidRPr="009B63F9">
        <w:rPr>
          <w:b/>
        </w:rPr>
        <w:t>29,6</w:t>
      </w:r>
      <w:r w:rsidRPr="009B63F9">
        <w:rPr>
          <w:b/>
        </w:rPr>
        <w:t xml:space="preserve"> milhões</w:t>
      </w:r>
      <w:r w:rsidR="009B63F9">
        <w:rPr>
          <w:b/>
        </w:rPr>
        <w:t xml:space="preserve">, </w:t>
      </w:r>
      <w:r w:rsidR="009B63F9">
        <w:rPr>
          <w:bCs/>
        </w:rPr>
        <w:t xml:space="preserve">com mais de </w:t>
      </w:r>
      <w:r w:rsidR="009B63F9" w:rsidRPr="00080D08">
        <w:rPr>
          <w:b/>
        </w:rPr>
        <w:t>R$ 8,9 milhões</w:t>
      </w:r>
      <w:r w:rsidR="009B63F9">
        <w:rPr>
          <w:bCs/>
        </w:rPr>
        <w:t xml:space="preserve"> em </w:t>
      </w:r>
      <w:r w:rsidR="00080D08">
        <w:rPr>
          <w:bCs/>
        </w:rPr>
        <w:t>garantias de aval e subsídios de juros</w:t>
      </w:r>
      <w:r w:rsidRPr="009B63F9">
        <w:rPr>
          <w:bCs/>
        </w:rPr>
        <w:t>.</w:t>
      </w:r>
    </w:p>
    <w:p w14:paraId="460612CA" w14:textId="77777777" w:rsidR="00A073E6" w:rsidRDefault="00A073E6" w:rsidP="005E3E2E">
      <w:pPr>
        <w:spacing w:line="259" w:lineRule="auto"/>
        <w:jc w:val="both"/>
        <w:rPr>
          <w:bCs/>
        </w:rPr>
      </w:pPr>
    </w:p>
    <w:p w14:paraId="1819DE96" w14:textId="14C0DDB5" w:rsidR="005E3E2E" w:rsidRPr="005E3E2E" w:rsidRDefault="005E3E2E" w:rsidP="005E3E2E">
      <w:pPr>
        <w:spacing w:line="259" w:lineRule="auto"/>
        <w:jc w:val="both"/>
        <w:rPr>
          <w:bCs/>
        </w:rPr>
      </w:pPr>
      <w:r>
        <w:rPr>
          <w:bCs/>
        </w:rPr>
        <w:t>C</w:t>
      </w:r>
      <w:r w:rsidRPr="005E3E2E">
        <w:rPr>
          <w:bCs/>
        </w:rPr>
        <w:t>onvênios com prefeituras municipais estão sendo formalizados visando a captação de recursos para o FUNDEQ, com objetivo</w:t>
      </w:r>
      <w:r>
        <w:rPr>
          <w:bCs/>
        </w:rPr>
        <w:t xml:space="preserve"> </w:t>
      </w:r>
      <w:r w:rsidRPr="005E3E2E">
        <w:rPr>
          <w:bCs/>
        </w:rPr>
        <w:t>de financiamento aos empreendimentos nos municípios.</w:t>
      </w:r>
    </w:p>
    <w:p w14:paraId="43D527F9" w14:textId="77777777" w:rsidR="00A073E6" w:rsidRDefault="00A073E6" w:rsidP="005E3E2E">
      <w:pPr>
        <w:spacing w:line="259" w:lineRule="auto"/>
        <w:jc w:val="both"/>
        <w:rPr>
          <w:bCs/>
        </w:rPr>
      </w:pPr>
    </w:p>
    <w:p w14:paraId="4A2A501C" w14:textId="12368F19" w:rsidR="005E3E2E" w:rsidRPr="005E3E2E" w:rsidRDefault="005E3E2E" w:rsidP="005E3E2E">
      <w:pPr>
        <w:spacing w:line="259" w:lineRule="auto"/>
        <w:jc w:val="both"/>
        <w:rPr>
          <w:bCs/>
        </w:rPr>
      </w:pPr>
      <w:r w:rsidRPr="005E3E2E">
        <w:rPr>
          <w:bCs/>
        </w:rPr>
        <w:t xml:space="preserve">Através do FAMPE – Fundo de Aval da Micro e Pequena Empresa, </w:t>
      </w:r>
      <w:r w:rsidR="00A073E6">
        <w:rPr>
          <w:bCs/>
        </w:rPr>
        <w:t xml:space="preserve">fundo garantidor </w:t>
      </w:r>
      <w:r w:rsidR="00230E1B">
        <w:rPr>
          <w:bCs/>
        </w:rPr>
        <w:t>disponibilizado</w:t>
      </w:r>
      <w:r w:rsidRPr="005E3E2E">
        <w:rPr>
          <w:bCs/>
        </w:rPr>
        <w:t xml:space="preserve"> pelo SEBRAE </w:t>
      </w:r>
      <w:r w:rsidR="00437FBE">
        <w:rPr>
          <w:bCs/>
        </w:rPr>
        <w:t xml:space="preserve">voltado para </w:t>
      </w:r>
      <w:r w:rsidR="003D548E">
        <w:rPr>
          <w:bCs/>
        </w:rPr>
        <w:t xml:space="preserve">garantia nas </w:t>
      </w:r>
      <w:r w:rsidRPr="005E3E2E">
        <w:rPr>
          <w:bCs/>
        </w:rPr>
        <w:t>operações de micro e pequenas empresas</w:t>
      </w:r>
      <w:r w:rsidR="00437FBE">
        <w:rPr>
          <w:bCs/>
        </w:rPr>
        <w:t>,</w:t>
      </w:r>
      <w:r w:rsidRPr="005E3E2E">
        <w:rPr>
          <w:bCs/>
        </w:rPr>
        <w:t xml:space="preserve"> a GoiásFomento contratou em 2021 </w:t>
      </w:r>
      <w:r w:rsidR="003E1CE2">
        <w:rPr>
          <w:bCs/>
        </w:rPr>
        <w:t xml:space="preserve">o </w:t>
      </w:r>
      <w:r w:rsidRPr="005E3E2E">
        <w:rPr>
          <w:bCs/>
        </w:rPr>
        <w:t>montante</w:t>
      </w:r>
      <w:r w:rsidRPr="00411C6D">
        <w:rPr>
          <w:b/>
        </w:rPr>
        <w:t xml:space="preserve"> R</w:t>
      </w:r>
      <w:r w:rsidRPr="00B16900">
        <w:rPr>
          <w:b/>
        </w:rPr>
        <w:t>$ 38,1 milhões</w:t>
      </w:r>
      <w:r w:rsidRPr="005E3E2E">
        <w:rPr>
          <w:bCs/>
        </w:rPr>
        <w:t>. Destaca-se que</w:t>
      </w:r>
      <w:r w:rsidR="003E1CE2">
        <w:rPr>
          <w:bCs/>
        </w:rPr>
        <w:t xml:space="preserve"> a agência</w:t>
      </w:r>
      <w:r w:rsidRPr="005E3E2E">
        <w:rPr>
          <w:bCs/>
        </w:rPr>
        <w:t xml:space="preserve"> ocupou o terceiro lugar no </w:t>
      </w:r>
      <w:r w:rsidRPr="00411C6D">
        <w:rPr>
          <w:bCs/>
          <w:i/>
          <w:iCs/>
        </w:rPr>
        <w:t>ranking</w:t>
      </w:r>
      <w:r w:rsidRPr="005E3E2E">
        <w:rPr>
          <w:bCs/>
        </w:rPr>
        <w:t xml:space="preserve"> nacional e o primeiro entre as agências</w:t>
      </w:r>
      <w:r w:rsidR="00AF0233">
        <w:rPr>
          <w:bCs/>
        </w:rPr>
        <w:t xml:space="preserve"> </w:t>
      </w:r>
      <w:r w:rsidRPr="005E3E2E">
        <w:rPr>
          <w:bCs/>
        </w:rPr>
        <w:t>de fomento como a instituição que mais contratou operações de crédito com o aval do fundo.</w:t>
      </w:r>
    </w:p>
    <w:p w14:paraId="5F078A1F" w14:textId="77777777" w:rsidR="003E1CE2" w:rsidRDefault="003E1CE2" w:rsidP="005E3E2E">
      <w:pPr>
        <w:spacing w:line="259" w:lineRule="auto"/>
        <w:jc w:val="both"/>
        <w:rPr>
          <w:bCs/>
        </w:rPr>
      </w:pPr>
    </w:p>
    <w:p w14:paraId="1E050B26" w14:textId="14D6B914" w:rsidR="005E3E2E" w:rsidRPr="00B16900" w:rsidRDefault="005E3E2E" w:rsidP="005E3E2E">
      <w:pPr>
        <w:spacing w:line="259" w:lineRule="auto"/>
        <w:jc w:val="both"/>
        <w:rPr>
          <w:b/>
        </w:rPr>
      </w:pPr>
      <w:r w:rsidRPr="005E3E2E">
        <w:rPr>
          <w:bCs/>
        </w:rPr>
        <w:t>Atuando na operacionalização de programas de transferência de rendas</w:t>
      </w:r>
      <w:r w:rsidR="0033414D">
        <w:rPr>
          <w:bCs/>
        </w:rPr>
        <w:t xml:space="preserve"> </w:t>
      </w:r>
      <w:r w:rsidR="0033414D" w:rsidRPr="005E3E2E">
        <w:rPr>
          <w:bCs/>
        </w:rPr>
        <w:t>na fase de</w:t>
      </w:r>
      <w:r w:rsidR="0033414D">
        <w:rPr>
          <w:bCs/>
        </w:rPr>
        <w:t xml:space="preserve"> </w:t>
      </w:r>
      <w:r w:rsidR="0033414D" w:rsidRPr="005E3E2E">
        <w:rPr>
          <w:bCs/>
        </w:rPr>
        <w:t>desembolsos de recursos aos beneficiários</w:t>
      </w:r>
      <w:r w:rsidR="005E1804">
        <w:rPr>
          <w:bCs/>
        </w:rPr>
        <w:t>,</w:t>
      </w:r>
      <w:r w:rsidRPr="005E3E2E">
        <w:rPr>
          <w:bCs/>
        </w:rPr>
        <w:t xml:space="preserve"> como </w:t>
      </w:r>
      <w:r w:rsidR="005E1804">
        <w:rPr>
          <w:bCs/>
        </w:rPr>
        <w:t>n</w:t>
      </w:r>
      <w:r w:rsidRPr="005E3E2E">
        <w:rPr>
          <w:bCs/>
        </w:rPr>
        <w:t>o Mães de Goiás</w:t>
      </w:r>
      <w:r w:rsidR="00AA0360">
        <w:rPr>
          <w:bCs/>
        </w:rPr>
        <w:t>,</w:t>
      </w:r>
      <w:r w:rsidRPr="005E3E2E">
        <w:rPr>
          <w:bCs/>
        </w:rPr>
        <w:t xml:space="preserve"> Aprendiz do Futuro</w:t>
      </w:r>
      <w:r w:rsidR="00AA0360">
        <w:rPr>
          <w:bCs/>
        </w:rPr>
        <w:t xml:space="preserve">, </w:t>
      </w:r>
      <w:r w:rsidR="00102E36">
        <w:rPr>
          <w:bCs/>
        </w:rPr>
        <w:t>Bolsa Alfabetizadora, Bolsa Qualificação e Crédito Social</w:t>
      </w:r>
      <w:r w:rsidRPr="005E3E2E">
        <w:rPr>
          <w:bCs/>
        </w:rPr>
        <w:t>, a GoiásFomento</w:t>
      </w:r>
      <w:r w:rsidR="00C15E65">
        <w:rPr>
          <w:bCs/>
        </w:rPr>
        <w:t xml:space="preserve">, somente com desembolsos por meio do </w:t>
      </w:r>
      <w:r w:rsidR="00C15E65">
        <w:rPr>
          <w:b/>
        </w:rPr>
        <w:t>cartão,</w:t>
      </w:r>
      <w:r w:rsidRPr="005E3E2E">
        <w:rPr>
          <w:bCs/>
        </w:rPr>
        <w:t xml:space="preserve"> emitiu </w:t>
      </w:r>
      <w:r w:rsidR="00C53C5B">
        <w:rPr>
          <w:b/>
        </w:rPr>
        <w:t>72.655</w:t>
      </w:r>
      <w:r w:rsidRPr="00B16900">
        <w:rPr>
          <w:b/>
        </w:rPr>
        <w:t xml:space="preserve"> </w:t>
      </w:r>
      <w:r w:rsidRPr="00C15E65">
        <w:rPr>
          <w:bCs/>
        </w:rPr>
        <w:t>cartões</w:t>
      </w:r>
      <w:r w:rsidRPr="005E3E2E">
        <w:rPr>
          <w:bCs/>
        </w:rPr>
        <w:t xml:space="preserve"> com um volume financeiro de </w:t>
      </w:r>
      <w:r w:rsidRPr="005E3E2E">
        <w:rPr>
          <w:bCs/>
        </w:rPr>
        <w:lastRenderedPageBreak/>
        <w:t xml:space="preserve">mais de </w:t>
      </w:r>
      <w:r w:rsidRPr="00B16900">
        <w:rPr>
          <w:b/>
        </w:rPr>
        <w:t>R$</w:t>
      </w:r>
      <w:r w:rsidR="00C53C5B">
        <w:rPr>
          <w:b/>
        </w:rPr>
        <w:t xml:space="preserve"> </w:t>
      </w:r>
      <w:r w:rsidR="00FD381F" w:rsidRPr="00FD381F">
        <w:rPr>
          <w:b/>
        </w:rPr>
        <w:t>R$ 61.771.258,99</w:t>
      </w:r>
      <w:r w:rsidR="00FD381F">
        <w:rPr>
          <w:b/>
        </w:rPr>
        <w:t xml:space="preserve"> </w:t>
      </w:r>
      <w:r w:rsidR="00FD381F">
        <w:rPr>
          <w:bCs/>
        </w:rPr>
        <w:t>(sessenta e um milhões, setecentos e setenta e um mil, duzentos e cinquenta e oito reais e noventa e nove centavos)</w:t>
      </w:r>
      <w:r w:rsidR="00C53C5B">
        <w:rPr>
          <w:b/>
        </w:rPr>
        <w:t>.</w:t>
      </w:r>
    </w:p>
    <w:p w14:paraId="2667A8EA" w14:textId="77777777" w:rsidR="001E2CBA" w:rsidRDefault="001E2CBA" w:rsidP="005E3E2E">
      <w:pPr>
        <w:spacing w:line="259" w:lineRule="auto"/>
        <w:jc w:val="both"/>
        <w:rPr>
          <w:bCs/>
          <w:highlight w:val="yellow"/>
        </w:rPr>
      </w:pPr>
    </w:p>
    <w:p w14:paraId="3C12CB8E" w14:textId="62F5E2A3" w:rsidR="005E3E2E" w:rsidRDefault="00ED2755" w:rsidP="005E3E2E">
      <w:pPr>
        <w:spacing w:line="259" w:lineRule="auto"/>
        <w:jc w:val="both"/>
        <w:rPr>
          <w:bCs/>
        </w:rPr>
      </w:pPr>
      <w:r>
        <w:rPr>
          <w:bCs/>
        </w:rPr>
        <w:t>A GoiásFomento</w:t>
      </w:r>
      <w:r w:rsidR="005E3E2E" w:rsidRPr="005E3E2E">
        <w:rPr>
          <w:bCs/>
        </w:rPr>
        <w:t xml:space="preserve"> </w:t>
      </w:r>
      <w:r w:rsidR="00136EC0">
        <w:rPr>
          <w:bCs/>
        </w:rPr>
        <w:t xml:space="preserve">participou </w:t>
      </w:r>
      <w:r w:rsidR="005E3E2E" w:rsidRPr="005E3E2E">
        <w:rPr>
          <w:bCs/>
        </w:rPr>
        <w:t>da Caravana da Retomada</w:t>
      </w:r>
      <w:r w:rsidR="00674395">
        <w:rPr>
          <w:bCs/>
        </w:rPr>
        <w:t xml:space="preserve"> </w:t>
      </w:r>
      <w:r w:rsidR="005E3E2E" w:rsidRPr="005E3E2E">
        <w:rPr>
          <w:bCs/>
        </w:rPr>
        <w:t xml:space="preserve">em diversos municípios do Estado. Na ação, </w:t>
      </w:r>
      <w:r w:rsidR="00136EC0" w:rsidRPr="005E3E2E">
        <w:rPr>
          <w:bCs/>
        </w:rPr>
        <w:t>disponibiliz</w:t>
      </w:r>
      <w:r w:rsidR="00136EC0">
        <w:rPr>
          <w:bCs/>
        </w:rPr>
        <w:t>ou</w:t>
      </w:r>
      <w:r w:rsidR="00136EC0" w:rsidRPr="005E3E2E">
        <w:rPr>
          <w:bCs/>
        </w:rPr>
        <w:t xml:space="preserve"> linhas de crédito para micro e pequenos empreendedores locais e </w:t>
      </w:r>
      <w:r w:rsidR="00136EC0">
        <w:rPr>
          <w:bCs/>
        </w:rPr>
        <w:t>visitaram</w:t>
      </w:r>
      <w:r w:rsidR="005E3E2E" w:rsidRPr="005E3E2E">
        <w:rPr>
          <w:bCs/>
        </w:rPr>
        <w:t xml:space="preserve"> </w:t>
      </w:r>
      <w:r w:rsidR="005E3E2E" w:rsidRPr="00B16900">
        <w:rPr>
          <w:b/>
        </w:rPr>
        <w:t>85 municípios</w:t>
      </w:r>
      <w:r w:rsidR="005E3E2E" w:rsidRPr="005E3E2E">
        <w:rPr>
          <w:bCs/>
        </w:rPr>
        <w:t xml:space="preserve"> com </w:t>
      </w:r>
      <w:r w:rsidR="005E3E2E" w:rsidRPr="00B16900">
        <w:rPr>
          <w:b/>
        </w:rPr>
        <w:t>664 atendimentos</w:t>
      </w:r>
      <w:r w:rsidR="005E3E2E" w:rsidRPr="005E3E2E">
        <w:rPr>
          <w:bCs/>
        </w:rPr>
        <w:t>, que tem como objetivo principal,</w:t>
      </w:r>
      <w:r w:rsidR="00674395">
        <w:rPr>
          <w:bCs/>
        </w:rPr>
        <w:t xml:space="preserve"> </w:t>
      </w:r>
      <w:r w:rsidR="005E3E2E" w:rsidRPr="005E3E2E">
        <w:rPr>
          <w:bCs/>
        </w:rPr>
        <w:t xml:space="preserve">promover a reinserção econômica de empresas que foram atingidas pela pandemia </w:t>
      </w:r>
      <w:proofErr w:type="gramStart"/>
      <w:r w:rsidR="005E3E2E" w:rsidRPr="005E3E2E">
        <w:rPr>
          <w:bCs/>
        </w:rPr>
        <w:t>e também</w:t>
      </w:r>
      <w:proofErr w:type="gramEnd"/>
      <w:r w:rsidR="005E3E2E" w:rsidRPr="005E3E2E">
        <w:rPr>
          <w:bCs/>
        </w:rPr>
        <w:t xml:space="preserve"> manter ativas as empresas que</w:t>
      </w:r>
      <w:r w:rsidR="00674395">
        <w:rPr>
          <w:bCs/>
        </w:rPr>
        <w:t xml:space="preserve"> </w:t>
      </w:r>
      <w:r w:rsidR="005E3E2E" w:rsidRPr="005E3E2E">
        <w:rPr>
          <w:bCs/>
        </w:rPr>
        <w:t>sobreviveram à crise.</w:t>
      </w:r>
    </w:p>
    <w:p w14:paraId="380C8989" w14:textId="77777777" w:rsidR="00C134E1" w:rsidRPr="005E3E2E" w:rsidRDefault="00C134E1" w:rsidP="005E3E2E">
      <w:pPr>
        <w:spacing w:line="259" w:lineRule="auto"/>
        <w:jc w:val="both"/>
        <w:rPr>
          <w:bCs/>
        </w:rPr>
      </w:pPr>
    </w:p>
    <w:p w14:paraId="6BE6620F" w14:textId="5995E19F" w:rsidR="005E3E2E" w:rsidRPr="005E3E2E" w:rsidRDefault="005E3E2E" w:rsidP="005E3E2E">
      <w:pPr>
        <w:spacing w:line="259" w:lineRule="auto"/>
        <w:jc w:val="both"/>
        <w:rPr>
          <w:bCs/>
        </w:rPr>
      </w:pPr>
      <w:r w:rsidRPr="005E3E2E">
        <w:rPr>
          <w:bCs/>
        </w:rPr>
        <w:t xml:space="preserve">A GoiásFomento busca a captação de recursos por meio do </w:t>
      </w:r>
      <w:proofErr w:type="spellStart"/>
      <w:r w:rsidRPr="005E3E2E">
        <w:rPr>
          <w:bCs/>
        </w:rPr>
        <w:t>Fonplata</w:t>
      </w:r>
      <w:proofErr w:type="spellEnd"/>
      <w:r w:rsidRPr="005E3E2E">
        <w:rPr>
          <w:bCs/>
        </w:rPr>
        <w:t>, instituição financeira que reúne cinco países, e tem como objetivo</w:t>
      </w:r>
      <w:r w:rsidR="00943918">
        <w:rPr>
          <w:bCs/>
        </w:rPr>
        <w:t xml:space="preserve"> </w:t>
      </w:r>
      <w:r w:rsidRPr="005E3E2E">
        <w:rPr>
          <w:bCs/>
        </w:rPr>
        <w:t xml:space="preserve">apoiar projetos que atendam </w:t>
      </w:r>
      <w:r w:rsidR="00A16A3A">
        <w:rPr>
          <w:bCs/>
        </w:rPr>
        <w:t xml:space="preserve">de desenvolvimento </w:t>
      </w:r>
      <w:r w:rsidR="008D2220">
        <w:rPr>
          <w:bCs/>
        </w:rPr>
        <w:t>econômico e social priorizado pelo Estado</w:t>
      </w:r>
      <w:r w:rsidRPr="005E3E2E">
        <w:rPr>
          <w:bCs/>
        </w:rPr>
        <w:t xml:space="preserve">. </w:t>
      </w:r>
      <w:r w:rsidR="0040526D">
        <w:rPr>
          <w:bCs/>
        </w:rPr>
        <w:t>Os esforços iniciais</w:t>
      </w:r>
      <w:r w:rsidR="00943918">
        <w:rPr>
          <w:bCs/>
        </w:rPr>
        <w:t xml:space="preserve"> </w:t>
      </w:r>
      <w:r w:rsidR="00334474">
        <w:rPr>
          <w:bCs/>
        </w:rPr>
        <w:t>visam</w:t>
      </w:r>
      <w:r w:rsidR="0040526D">
        <w:rPr>
          <w:bCs/>
        </w:rPr>
        <w:t xml:space="preserve"> captar</w:t>
      </w:r>
      <w:r w:rsidRPr="005E3E2E">
        <w:rPr>
          <w:bCs/>
        </w:rPr>
        <w:t xml:space="preserve"> </w:t>
      </w:r>
      <w:r w:rsidRPr="00FD381F">
        <w:rPr>
          <w:b/>
        </w:rPr>
        <w:t>US$ 5 milhões</w:t>
      </w:r>
      <w:r w:rsidRPr="005E3E2E">
        <w:rPr>
          <w:bCs/>
        </w:rPr>
        <w:t xml:space="preserve"> de dólares sem a necessidade de garantia soberana.</w:t>
      </w:r>
    </w:p>
    <w:p w14:paraId="364E0072" w14:textId="77777777" w:rsidR="0038161A" w:rsidRDefault="0038161A" w:rsidP="005E3E2E">
      <w:pPr>
        <w:spacing w:line="259" w:lineRule="auto"/>
        <w:jc w:val="both"/>
        <w:rPr>
          <w:bCs/>
        </w:rPr>
      </w:pPr>
    </w:p>
    <w:p w14:paraId="5E4A73A6" w14:textId="79C28C54" w:rsidR="005E3E2E" w:rsidRDefault="005E3E2E" w:rsidP="005E3E2E">
      <w:pPr>
        <w:spacing w:line="259" w:lineRule="auto"/>
        <w:jc w:val="both"/>
        <w:rPr>
          <w:bCs/>
        </w:rPr>
      </w:pPr>
      <w:r w:rsidRPr="005E3E2E">
        <w:rPr>
          <w:bCs/>
        </w:rPr>
        <w:t xml:space="preserve">Na cadeia do turismo foram disponibilizadas linhas de crédito, com valores que podem chegar a </w:t>
      </w:r>
      <w:r w:rsidRPr="00B16900">
        <w:rPr>
          <w:b/>
        </w:rPr>
        <w:t>R$ 2 milhões</w:t>
      </w:r>
      <w:r w:rsidRPr="005E3E2E">
        <w:rPr>
          <w:bCs/>
        </w:rPr>
        <w:t xml:space="preserve">, cujo objetivo </w:t>
      </w:r>
      <w:r w:rsidR="000D4FE4">
        <w:rPr>
          <w:bCs/>
        </w:rPr>
        <w:t>é</w:t>
      </w:r>
      <w:r w:rsidRPr="005E3E2E">
        <w:rPr>
          <w:bCs/>
        </w:rPr>
        <w:t xml:space="preserve"> a</w:t>
      </w:r>
      <w:r w:rsidR="00943918">
        <w:rPr>
          <w:bCs/>
        </w:rPr>
        <w:t xml:space="preserve"> </w:t>
      </w:r>
      <w:r w:rsidRPr="005E3E2E">
        <w:rPr>
          <w:bCs/>
        </w:rPr>
        <w:t xml:space="preserve">preservação de empresas e empregos na pandemia. Os recursos para </w:t>
      </w:r>
      <w:r w:rsidRPr="0004073B">
        <w:rPr>
          <w:bCs/>
        </w:rPr>
        <w:t>repasses são oriundos de convênio firmado com o Ministério do</w:t>
      </w:r>
      <w:r w:rsidR="00943918" w:rsidRPr="0004073B">
        <w:rPr>
          <w:bCs/>
        </w:rPr>
        <w:t xml:space="preserve"> </w:t>
      </w:r>
      <w:r w:rsidRPr="0004073B">
        <w:rPr>
          <w:bCs/>
        </w:rPr>
        <w:t xml:space="preserve">Turismo, e repassados através do Fundo Geral de Turismo – </w:t>
      </w:r>
      <w:proofErr w:type="spellStart"/>
      <w:r w:rsidRPr="0004073B">
        <w:rPr>
          <w:bCs/>
        </w:rPr>
        <w:t>Fungetur</w:t>
      </w:r>
      <w:proofErr w:type="spellEnd"/>
      <w:r w:rsidRPr="0004073B">
        <w:rPr>
          <w:bCs/>
        </w:rPr>
        <w:t xml:space="preserve">, que disponibilizou no total, </w:t>
      </w:r>
      <w:r w:rsidRPr="0004073B">
        <w:rPr>
          <w:b/>
        </w:rPr>
        <w:t>R$ 84 milhões</w:t>
      </w:r>
      <w:r w:rsidR="002025F8">
        <w:rPr>
          <w:b/>
        </w:rPr>
        <w:t xml:space="preserve">, </w:t>
      </w:r>
      <w:r w:rsidR="002025F8">
        <w:rPr>
          <w:bCs/>
        </w:rPr>
        <w:t>com a utilização previst</w:t>
      </w:r>
      <w:r w:rsidR="006561BC">
        <w:rPr>
          <w:bCs/>
        </w:rPr>
        <w:t>a em tranche</w:t>
      </w:r>
      <w:r w:rsidRPr="0004073B">
        <w:rPr>
          <w:bCs/>
        </w:rPr>
        <w:t>.</w:t>
      </w:r>
    </w:p>
    <w:p w14:paraId="453D4B79" w14:textId="77777777" w:rsidR="00B46C08" w:rsidRPr="005E3E2E" w:rsidRDefault="00B46C08" w:rsidP="005E3E2E">
      <w:pPr>
        <w:spacing w:line="259" w:lineRule="auto"/>
        <w:jc w:val="both"/>
        <w:rPr>
          <w:bCs/>
        </w:rPr>
      </w:pPr>
    </w:p>
    <w:p w14:paraId="263F4188" w14:textId="48053019" w:rsidR="005E3E2E" w:rsidRDefault="005E3E2E" w:rsidP="005E3E2E">
      <w:pPr>
        <w:spacing w:line="259" w:lineRule="auto"/>
        <w:jc w:val="both"/>
        <w:rPr>
          <w:bCs/>
        </w:rPr>
      </w:pPr>
      <w:r w:rsidRPr="005E3E2E">
        <w:rPr>
          <w:bCs/>
        </w:rPr>
        <w:t>As ações para o desenvolvimento do turismo, por meio do programa Rota do Turismo, ocorre</w:t>
      </w:r>
      <w:r w:rsidR="00AD2BCF">
        <w:rPr>
          <w:bCs/>
        </w:rPr>
        <w:t>ra</w:t>
      </w:r>
      <w:r w:rsidRPr="005E3E2E">
        <w:rPr>
          <w:bCs/>
        </w:rPr>
        <w:t>m em parceria com a Goiás Turismo, e</w:t>
      </w:r>
      <w:r w:rsidR="00943918">
        <w:rPr>
          <w:bCs/>
        </w:rPr>
        <w:t xml:space="preserve"> </w:t>
      </w:r>
      <w:r w:rsidRPr="005E3E2E">
        <w:rPr>
          <w:bCs/>
        </w:rPr>
        <w:t>realizada em todas as dez regiões turísticas do Estado, com o objetivo de divulgar as linhas de crédito especiais destinadas ao setor.</w:t>
      </w:r>
      <w:r w:rsidR="00AD2BCF">
        <w:rPr>
          <w:bCs/>
        </w:rPr>
        <w:t xml:space="preserve"> </w:t>
      </w:r>
      <w:r w:rsidRPr="005E3E2E">
        <w:rPr>
          <w:bCs/>
        </w:rPr>
        <w:t xml:space="preserve">Foram visitados cinco municípios com mais de </w:t>
      </w:r>
      <w:r w:rsidRPr="00B16900">
        <w:rPr>
          <w:b/>
        </w:rPr>
        <w:t>150 atendimentos</w:t>
      </w:r>
      <w:r w:rsidRPr="005E3E2E">
        <w:rPr>
          <w:bCs/>
        </w:rPr>
        <w:t xml:space="preserve"> realizados.</w:t>
      </w:r>
    </w:p>
    <w:p w14:paraId="1FCBE5B1" w14:textId="77777777" w:rsidR="00B46C08" w:rsidRPr="005E3E2E" w:rsidRDefault="00B46C08" w:rsidP="005E3E2E">
      <w:pPr>
        <w:spacing w:line="259" w:lineRule="auto"/>
        <w:jc w:val="both"/>
        <w:rPr>
          <w:bCs/>
        </w:rPr>
      </w:pPr>
    </w:p>
    <w:p w14:paraId="5658C288" w14:textId="4C493487" w:rsidR="005E3E2E" w:rsidRPr="005E3E2E" w:rsidRDefault="005E3E2E" w:rsidP="005E3E2E">
      <w:pPr>
        <w:spacing w:line="259" w:lineRule="auto"/>
        <w:jc w:val="both"/>
        <w:rPr>
          <w:bCs/>
        </w:rPr>
      </w:pPr>
      <w:r w:rsidRPr="005E3E2E">
        <w:rPr>
          <w:bCs/>
        </w:rPr>
        <w:t>Para o desenvolvimento do agronegócio no Estado, foi reestruturada a Gerência do Agronegócio</w:t>
      </w:r>
      <w:r w:rsidR="00372FCA">
        <w:rPr>
          <w:bCs/>
        </w:rPr>
        <w:t xml:space="preserve"> -</w:t>
      </w:r>
      <w:r w:rsidRPr="005E3E2E">
        <w:rPr>
          <w:bCs/>
        </w:rPr>
        <w:t xml:space="preserve"> GERAG, dotando</w:t>
      </w:r>
      <w:r w:rsidR="00EC7A36">
        <w:rPr>
          <w:bCs/>
        </w:rPr>
        <w:t>-a</w:t>
      </w:r>
      <w:r w:rsidRPr="005E3E2E">
        <w:rPr>
          <w:bCs/>
        </w:rPr>
        <w:t xml:space="preserve"> de profissionais</w:t>
      </w:r>
      <w:r w:rsidR="00943918">
        <w:rPr>
          <w:bCs/>
        </w:rPr>
        <w:t xml:space="preserve"> </w:t>
      </w:r>
      <w:r w:rsidRPr="005E3E2E">
        <w:rPr>
          <w:bCs/>
        </w:rPr>
        <w:t>especializados que estão atuando na prospecção e captação de negócios. Foi firmado parceria com a EMATER e treinados 130 técnicos,</w:t>
      </w:r>
      <w:r w:rsidR="00943918">
        <w:rPr>
          <w:bCs/>
        </w:rPr>
        <w:t xml:space="preserve"> </w:t>
      </w:r>
      <w:r w:rsidR="009D2ED5">
        <w:rPr>
          <w:bCs/>
        </w:rPr>
        <w:t>para atuar</w:t>
      </w:r>
      <w:r w:rsidRPr="005E3E2E">
        <w:rPr>
          <w:bCs/>
        </w:rPr>
        <w:t xml:space="preserve"> na elaboração do projeto técnico e plano de negócio rural em conjunto com os produtores rurais, apresentação da</w:t>
      </w:r>
      <w:r w:rsidR="00943918">
        <w:rPr>
          <w:bCs/>
        </w:rPr>
        <w:t xml:space="preserve"> </w:t>
      </w:r>
      <w:r w:rsidRPr="005E3E2E">
        <w:rPr>
          <w:bCs/>
        </w:rPr>
        <w:t>documentação junto a GoiásFomento para a análise de crédito dos produtores rurais.</w:t>
      </w:r>
    </w:p>
    <w:p w14:paraId="7556893F" w14:textId="13DC2B27" w:rsidR="005E3E2E" w:rsidRDefault="005E3E2E" w:rsidP="0042342D">
      <w:pPr>
        <w:spacing w:line="259" w:lineRule="auto"/>
        <w:jc w:val="both"/>
        <w:rPr>
          <w:b/>
        </w:rPr>
      </w:pPr>
    </w:p>
    <w:p w14:paraId="5F6102F0" w14:textId="69DEEF50" w:rsidR="0042342D" w:rsidRPr="00BE61FB" w:rsidRDefault="0042342D" w:rsidP="0042342D">
      <w:pPr>
        <w:spacing w:after="4" w:line="259" w:lineRule="auto"/>
        <w:ind w:left="-5"/>
        <w:jc w:val="both"/>
      </w:pPr>
      <w:r>
        <w:rPr>
          <w:b/>
        </w:rPr>
        <w:t>3</w:t>
      </w:r>
      <w:r w:rsidRPr="00BE61FB">
        <w:rPr>
          <w:b/>
        </w:rPr>
        <w:t>. PERSPECTIVAS</w:t>
      </w:r>
    </w:p>
    <w:p w14:paraId="27BAA21B" w14:textId="77777777" w:rsidR="0042342D" w:rsidRPr="00BE61FB" w:rsidRDefault="0042342D" w:rsidP="0042342D">
      <w:pPr>
        <w:spacing w:line="259" w:lineRule="auto"/>
        <w:jc w:val="both"/>
      </w:pPr>
      <w:r w:rsidRPr="00BE61FB">
        <w:rPr>
          <w:b/>
        </w:rPr>
        <w:t xml:space="preserve"> </w:t>
      </w:r>
    </w:p>
    <w:p w14:paraId="3DE9B562" w14:textId="77777777" w:rsidR="0042342D" w:rsidRDefault="0042342D" w:rsidP="0042342D">
      <w:pPr>
        <w:ind w:left="-5"/>
        <w:jc w:val="both"/>
      </w:pPr>
      <w:r w:rsidRPr="00BE61FB">
        <w:t xml:space="preserve">A </w:t>
      </w:r>
      <w:r w:rsidRPr="00BE61FB">
        <w:rPr>
          <w:b/>
        </w:rPr>
        <w:t>GOIÁSFOMENTO</w:t>
      </w:r>
      <w:r w:rsidRPr="00BE61FB">
        <w:t xml:space="preserve"> </w:t>
      </w:r>
      <w:r>
        <w:t xml:space="preserve">continuará </w:t>
      </w:r>
      <w:r w:rsidRPr="00BE61FB">
        <w:t xml:space="preserve">atuando em conjunto com </w:t>
      </w:r>
      <w:r>
        <w:t>demais órgãos e instituições governamentais, em especial su</w:t>
      </w:r>
      <w:r w:rsidRPr="00BE61FB">
        <w:t>a jurisdiciona</w:t>
      </w:r>
      <w:r>
        <w:t>nte</w:t>
      </w:r>
      <w:r w:rsidRPr="00BE61FB">
        <w:t xml:space="preserve">, a Secretaria de Indústria, Comércio e Serviços </w:t>
      </w:r>
      <w:r>
        <w:t>na implementação de diversas ações de impacto econômico e social no Estado de Goiás.</w:t>
      </w:r>
    </w:p>
    <w:p w14:paraId="49E046B2" w14:textId="77777777" w:rsidR="0042342D" w:rsidRDefault="0042342D" w:rsidP="0042342D">
      <w:pPr>
        <w:ind w:left="-5"/>
        <w:jc w:val="both"/>
      </w:pPr>
    </w:p>
    <w:p w14:paraId="3C04E931" w14:textId="3A05EE96" w:rsidR="0042342D" w:rsidRPr="001D40F8" w:rsidRDefault="0042342D" w:rsidP="0042342D">
      <w:pPr>
        <w:ind w:left="-5"/>
        <w:jc w:val="both"/>
      </w:pPr>
      <w:r>
        <w:t xml:space="preserve">A GoiásFomento </w:t>
      </w:r>
      <w:r w:rsidR="006D1DD2">
        <w:t>iniciará em 2022</w:t>
      </w:r>
      <w:r>
        <w:t xml:space="preserve">, </w:t>
      </w:r>
      <w:r w:rsidR="006D1DD2">
        <w:t xml:space="preserve">operações com </w:t>
      </w:r>
      <w:r>
        <w:t xml:space="preserve">equalização do FUNDEQ </w:t>
      </w:r>
      <w:r w:rsidR="003C0D87">
        <w:t xml:space="preserve">na </w:t>
      </w:r>
      <w:r>
        <w:t xml:space="preserve">linha de crédito </w:t>
      </w:r>
      <w:r w:rsidR="003C0D87">
        <w:rPr>
          <w:b/>
          <w:bCs/>
        </w:rPr>
        <w:t xml:space="preserve">Mais Crédito, </w:t>
      </w:r>
      <w:r w:rsidR="003C0D87">
        <w:t xml:space="preserve">voltado </w:t>
      </w:r>
      <w:r>
        <w:t xml:space="preserve">para </w:t>
      </w:r>
      <w:r w:rsidR="00042470">
        <w:t xml:space="preserve">microcrédito </w:t>
      </w:r>
      <w:r>
        <w:t>com</w:t>
      </w:r>
      <w:r w:rsidR="00E6779B">
        <w:t xml:space="preserve"> subsídios que podem alcançar</w:t>
      </w:r>
      <w:r>
        <w:t xml:space="preserve"> 100% </w:t>
      </w:r>
      <w:r w:rsidR="005565C6">
        <w:t xml:space="preserve">(cem por cento) </w:t>
      </w:r>
      <w:r w:rsidR="00E6779B">
        <w:t>d</w:t>
      </w:r>
      <w:r>
        <w:t>os encargos financeiros.</w:t>
      </w:r>
    </w:p>
    <w:p w14:paraId="2372BE11" w14:textId="77777777" w:rsidR="0042342D" w:rsidRDefault="0042342D" w:rsidP="0042342D">
      <w:pPr>
        <w:ind w:left="-5"/>
        <w:jc w:val="both"/>
      </w:pPr>
    </w:p>
    <w:p w14:paraId="1E80CA4C" w14:textId="77777777" w:rsidR="0042342D" w:rsidRDefault="0042342D" w:rsidP="0042342D">
      <w:pPr>
        <w:ind w:left="-5"/>
        <w:jc w:val="both"/>
      </w:pPr>
      <w:r>
        <w:lastRenderedPageBreak/>
        <w:t xml:space="preserve">Ampliar o leque de serviços financeiros por meio de contratação de soluções em </w:t>
      </w:r>
      <w:proofErr w:type="spellStart"/>
      <w:r w:rsidRPr="00D02467">
        <w:rPr>
          <w:i/>
          <w:iCs/>
        </w:rPr>
        <w:t>whit</w:t>
      </w:r>
      <w:proofErr w:type="spellEnd"/>
      <w:r w:rsidRPr="00D02467">
        <w:rPr>
          <w:i/>
          <w:iCs/>
        </w:rPr>
        <w:t xml:space="preserve"> </w:t>
      </w:r>
      <w:proofErr w:type="spellStart"/>
      <w:r w:rsidRPr="00D02467">
        <w:rPr>
          <w:i/>
          <w:iCs/>
        </w:rPr>
        <w:t>label</w:t>
      </w:r>
      <w:proofErr w:type="spellEnd"/>
      <w:r>
        <w:t xml:space="preserve">, incluindo serviços de conta digital, </w:t>
      </w:r>
      <w:proofErr w:type="spellStart"/>
      <w:r>
        <w:t>subadquirência</w:t>
      </w:r>
      <w:proofErr w:type="spellEnd"/>
      <w:r>
        <w:t>, emissor de cartão, associado a realização de operações de crédito para desconto de recebíveis, cujo processo de estudo está em andamento.</w:t>
      </w:r>
    </w:p>
    <w:p w14:paraId="4DDD958F" w14:textId="052B4F25" w:rsidR="0042342D" w:rsidRDefault="0042342D" w:rsidP="0042342D">
      <w:pPr>
        <w:ind w:left="-5"/>
        <w:jc w:val="both"/>
      </w:pPr>
    </w:p>
    <w:p w14:paraId="6987F3CA" w14:textId="3CE7ABAB" w:rsidR="00D5520A" w:rsidRDefault="00D5520A" w:rsidP="0042342D">
      <w:pPr>
        <w:ind w:left="-5"/>
        <w:jc w:val="both"/>
      </w:pPr>
      <w:r>
        <w:t xml:space="preserve">Formalização de parceiras com órgãos da administração estadual bem como com prefeituras goianas visando a disponibilização de cartão </w:t>
      </w:r>
      <w:proofErr w:type="spellStart"/>
      <w:r w:rsidRPr="002641CD">
        <w:rPr>
          <w:i/>
          <w:iCs/>
        </w:rPr>
        <w:t>private</w:t>
      </w:r>
      <w:proofErr w:type="spellEnd"/>
      <w:r w:rsidRPr="002641CD">
        <w:rPr>
          <w:i/>
          <w:iCs/>
        </w:rPr>
        <w:t xml:space="preserve"> </w:t>
      </w:r>
      <w:proofErr w:type="spellStart"/>
      <w:r w:rsidRPr="002641CD">
        <w:rPr>
          <w:i/>
          <w:iCs/>
        </w:rPr>
        <w:t>label</w:t>
      </w:r>
      <w:proofErr w:type="spellEnd"/>
      <w:r>
        <w:t xml:space="preserve"> na modalidade pré-pago, para pagamento de programas sociais</w:t>
      </w:r>
      <w:r w:rsidR="00855C42">
        <w:t xml:space="preserve"> e</w:t>
      </w:r>
      <w:r>
        <w:t xml:space="preserve"> de transferência de renda</w:t>
      </w:r>
      <w:r w:rsidR="00855C42">
        <w:t>.</w:t>
      </w:r>
    </w:p>
    <w:p w14:paraId="48BF6D05" w14:textId="77777777" w:rsidR="0042342D" w:rsidRDefault="0042342D" w:rsidP="0042342D">
      <w:pPr>
        <w:ind w:left="-5"/>
        <w:jc w:val="both"/>
      </w:pPr>
    </w:p>
    <w:p w14:paraId="72C647B5" w14:textId="77777777" w:rsidR="0042342D" w:rsidRDefault="0042342D" w:rsidP="0042342D">
      <w:pPr>
        <w:ind w:left="-5"/>
        <w:jc w:val="both"/>
      </w:pPr>
    </w:p>
    <w:p w14:paraId="3058126F" w14:textId="77777777" w:rsidR="0042342D" w:rsidRPr="00BE61FB" w:rsidRDefault="0042342D" w:rsidP="0042342D">
      <w:pPr>
        <w:spacing w:line="259" w:lineRule="auto"/>
        <w:jc w:val="both"/>
      </w:pPr>
      <w:r w:rsidRPr="00BE61FB">
        <w:rPr>
          <w:b/>
        </w:rPr>
        <w:t xml:space="preserve">Agradecimentos </w:t>
      </w:r>
    </w:p>
    <w:p w14:paraId="3DC7FB73" w14:textId="622B881A" w:rsidR="0042342D" w:rsidRPr="00BE61FB" w:rsidRDefault="0042342D" w:rsidP="0042342D">
      <w:pPr>
        <w:spacing w:line="259" w:lineRule="auto"/>
        <w:jc w:val="both"/>
      </w:pPr>
    </w:p>
    <w:p w14:paraId="3C063D6C" w14:textId="3AFB9D65" w:rsidR="0042342D" w:rsidRPr="00BE61FB" w:rsidRDefault="0042342D" w:rsidP="0042342D">
      <w:pPr>
        <w:ind w:left="-5"/>
        <w:jc w:val="both"/>
      </w:pPr>
      <w:r w:rsidRPr="00BE61FB">
        <w:t xml:space="preserve">A Diretoria Executiva apresenta os resultados obtidos no </w:t>
      </w:r>
      <w:r>
        <w:t>exercício</w:t>
      </w:r>
      <w:r w:rsidRPr="00BE61FB">
        <w:t xml:space="preserve"> de 20</w:t>
      </w:r>
      <w:r>
        <w:t>2</w:t>
      </w:r>
      <w:r w:rsidR="002270BB">
        <w:t>1</w:t>
      </w:r>
      <w:r w:rsidRPr="00BE61FB">
        <w:t xml:space="preserve">, </w:t>
      </w:r>
      <w:r>
        <w:t xml:space="preserve">destaca </w:t>
      </w:r>
      <w:r w:rsidRPr="00BE61FB">
        <w:t xml:space="preserve">a administração profissional esperada </w:t>
      </w:r>
      <w:r w:rsidR="00D04384">
        <w:t>dessa sociedade de economia mista,</w:t>
      </w:r>
      <w:r w:rsidRPr="00BE61FB">
        <w:t xml:space="preserve"> focada </w:t>
      </w:r>
      <w:r>
        <w:t xml:space="preserve">na ampliação </w:t>
      </w:r>
      <w:r w:rsidRPr="00BE61FB">
        <w:t xml:space="preserve">em seu fortalecimento institucional, empresarial e bancário, zelando por seu patrimônio e valorização de seus colaboradores. </w:t>
      </w:r>
    </w:p>
    <w:p w14:paraId="566F3F7C" w14:textId="77777777" w:rsidR="0042342D" w:rsidRPr="00BE61FB" w:rsidRDefault="0042342D" w:rsidP="0042342D">
      <w:pPr>
        <w:spacing w:line="259" w:lineRule="auto"/>
        <w:jc w:val="both"/>
      </w:pPr>
      <w:r w:rsidRPr="00BE61FB">
        <w:t xml:space="preserve"> </w:t>
      </w:r>
    </w:p>
    <w:p w14:paraId="04E35D6E" w14:textId="77777777" w:rsidR="0042342D" w:rsidRDefault="0042342D" w:rsidP="0042342D">
      <w:pPr>
        <w:ind w:left="-5"/>
        <w:jc w:val="both"/>
      </w:pPr>
      <w:r w:rsidRPr="00BE61FB">
        <w:t>Agradece aos acionistas, clientes, parceiros da iniciativa pública e privada, fornecedores, conselheiros, colaboradores e todos que contribuíram para mais esse semestre de efetivo alcance dos objetivos pelo trabalho realizado nesse período.</w:t>
      </w:r>
      <w:r>
        <w:t xml:space="preserve"> </w:t>
      </w:r>
    </w:p>
    <w:p w14:paraId="2183EF39" w14:textId="77777777" w:rsidR="0042342D" w:rsidRDefault="0042342D" w:rsidP="0042342D">
      <w:pPr>
        <w:spacing w:line="259" w:lineRule="auto"/>
        <w:jc w:val="both"/>
      </w:pPr>
      <w:r>
        <w:t xml:space="preserve"> </w:t>
      </w:r>
    </w:p>
    <w:p w14:paraId="5D7D2244" w14:textId="48F6BA39" w:rsidR="0042342D" w:rsidRDefault="0042342D" w:rsidP="0042342D">
      <w:pPr>
        <w:spacing w:line="259" w:lineRule="auto"/>
        <w:jc w:val="both"/>
      </w:pPr>
      <w:r>
        <w:t xml:space="preserve"> Goiânia (GO), </w:t>
      </w:r>
      <w:r w:rsidR="00212901">
        <w:t>12</w:t>
      </w:r>
      <w:r>
        <w:t xml:space="preserve"> de </w:t>
      </w:r>
      <w:r w:rsidR="00212901">
        <w:t>abril</w:t>
      </w:r>
      <w:r>
        <w:t xml:space="preserve"> de 202</w:t>
      </w:r>
      <w:r w:rsidR="00ED553E">
        <w:t>2</w:t>
      </w:r>
      <w:r>
        <w:rPr>
          <w:b/>
        </w:rPr>
        <w:t xml:space="preserve">. </w:t>
      </w:r>
    </w:p>
    <w:p w14:paraId="24986C43" w14:textId="639718CC" w:rsidR="0042342D" w:rsidRDefault="0042342D" w:rsidP="0042342D">
      <w:pPr>
        <w:spacing w:line="259" w:lineRule="auto"/>
        <w:ind w:left="55"/>
        <w:jc w:val="both"/>
        <w:rPr>
          <w:b/>
        </w:rPr>
      </w:pPr>
      <w:r>
        <w:rPr>
          <w:b/>
        </w:rPr>
        <w:t xml:space="preserve"> </w:t>
      </w:r>
    </w:p>
    <w:p w14:paraId="369F2705" w14:textId="77777777" w:rsidR="001435D0" w:rsidRDefault="001435D0" w:rsidP="0042342D">
      <w:pPr>
        <w:spacing w:line="259" w:lineRule="auto"/>
        <w:ind w:left="55"/>
        <w:jc w:val="both"/>
        <w:rPr>
          <w:b/>
        </w:rPr>
      </w:pPr>
    </w:p>
    <w:p w14:paraId="51F90F33" w14:textId="1FD256AF" w:rsidR="0042342D" w:rsidRDefault="00D922BB" w:rsidP="001435D0">
      <w:pPr>
        <w:spacing w:line="259" w:lineRule="auto"/>
        <w:ind w:left="55"/>
        <w:jc w:val="center"/>
      </w:pPr>
      <w:r>
        <w:t>NATÁLIA</w:t>
      </w:r>
      <w:r w:rsidR="008453C1">
        <w:t xml:space="preserve"> CALIMAN VIEIRA</w:t>
      </w:r>
    </w:p>
    <w:p w14:paraId="5AC8F82F" w14:textId="77777777" w:rsidR="0042342D" w:rsidRDefault="0042342D" w:rsidP="0042342D">
      <w:pPr>
        <w:spacing w:line="259" w:lineRule="auto"/>
        <w:ind w:right="5"/>
        <w:jc w:val="center"/>
      </w:pPr>
      <w:r>
        <w:t>Presidente do Conselho de Administração</w:t>
      </w:r>
    </w:p>
    <w:p w14:paraId="15F619BB" w14:textId="4A65C13E" w:rsidR="0042342D" w:rsidRDefault="0042342D" w:rsidP="0042342D">
      <w:pPr>
        <w:spacing w:line="259" w:lineRule="auto"/>
        <w:ind w:left="55"/>
        <w:jc w:val="center"/>
      </w:pPr>
    </w:p>
    <w:p w14:paraId="3CB337FF" w14:textId="77777777" w:rsidR="001435D0" w:rsidRDefault="001435D0" w:rsidP="0042342D">
      <w:pPr>
        <w:spacing w:line="259" w:lineRule="auto"/>
        <w:ind w:left="55"/>
        <w:jc w:val="center"/>
      </w:pPr>
    </w:p>
    <w:p w14:paraId="1D6ABD05" w14:textId="2C047FB4" w:rsidR="0042342D" w:rsidRDefault="004E4148" w:rsidP="001435D0">
      <w:pPr>
        <w:spacing w:line="259" w:lineRule="auto"/>
        <w:ind w:left="55"/>
        <w:jc w:val="center"/>
      </w:pPr>
      <w:r>
        <w:t>RIVAEL AGUIAR PEREIRA</w:t>
      </w:r>
    </w:p>
    <w:p w14:paraId="22E23984" w14:textId="77777777" w:rsidR="0042342D" w:rsidRDefault="0042342D" w:rsidP="0042342D">
      <w:pPr>
        <w:spacing w:line="259" w:lineRule="auto"/>
        <w:ind w:right="5"/>
        <w:jc w:val="center"/>
      </w:pPr>
      <w:r>
        <w:t>Diretor-Presidente</w:t>
      </w:r>
    </w:p>
    <w:p w14:paraId="3A7A741F" w14:textId="77777777" w:rsidR="0042342D" w:rsidRDefault="0042342D" w:rsidP="0042342D">
      <w:pPr>
        <w:spacing w:line="259" w:lineRule="auto"/>
        <w:jc w:val="center"/>
        <w:rPr>
          <w:sz w:val="16"/>
          <w:szCs w:val="16"/>
        </w:rPr>
      </w:pPr>
    </w:p>
    <w:p w14:paraId="06C59026" w14:textId="77777777" w:rsidR="0042342D" w:rsidRDefault="0042342D" w:rsidP="0042342D">
      <w:pPr>
        <w:tabs>
          <w:tab w:val="left" w:pos="7950"/>
        </w:tabs>
        <w:spacing w:line="259" w:lineRule="auto"/>
        <w:jc w:val="center"/>
      </w:pPr>
    </w:p>
    <w:p w14:paraId="6437AED6" w14:textId="77777777" w:rsidR="0042342D" w:rsidRDefault="0042342D" w:rsidP="001435D0">
      <w:pPr>
        <w:spacing w:line="259" w:lineRule="auto"/>
        <w:ind w:left="55"/>
        <w:jc w:val="center"/>
      </w:pPr>
      <w:r>
        <w:t>FERNANDO FREITAS SILVA</w:t>
      </w:r>
    </w:p>
    <w:p w14:paraId="473B27F3" w14:textId="07A44802" w:rsidR="0042342D" w:rsidRDefault="0042342D" w:rsidP="0042342D">
      <w:pPr>
        <w:spacing w:line="259" w:lineRule="auto"/>
        <w:jc w:val="center"/>
        <w:rPr>
          <w:sz w:val="16"/>
          <w:szCs w:val="16"/>
        </w:rPr>
      </w:pPr>
      <w:r>
        <w:t>Diretor de Operações</w:t>
      </w:r>
    </w:p>
    <w:p w14:paraId="437877CF" w14:textId="77777777" w:rsidR="0042342D" w:rsidRPr="000A351F" w:rsidRDefault="0042342D" w:rsidP="0042342D">
      <w:pPr>
        <w:spacing w:line="259" w:lineRule="auto"/>
        <w:jc w:val="both"/>
        <w:rPr>
          <w:sz w:val="16"/>
          <w:szCs w:val="16"/>
        </w:rPr>
      </w:pPr>
    </w:p>
    <w:p w14:paraId="2EB6ECBF" w14:textId="62E99D19" w:rsidR="0042342D" w:rsidRDefault="0042342D" w:rsidP="00D24918">
      <w:pPr>
        <w:tabs>
          <w:tab w:val="left" w:pos="7950"/>
        </w:tabs>
        <w:spacing w:line="259" w:lineRule="auto"/>
        <w:jc w:val="center"/>
      </w:pPr>
    </w:p>
    <w:p w14:paraId="3AA52EC8" w14:textId="77777777" w:rsidR="0042342D" w:rsidRDefault="0042342D" w:rsidP="001435D0">
      <w:pPr>
        <w:spacing w:line="259" w:lineRule="auto"/>
        <w:ind w:left="55"/>
        <w:jc w:val="center"/>
      </w:pPr>
      <w:r>
        <w:t>JOSÉ ALVES QUEIROZ</w:t>
      </w:r>
    </w:p>
    <w:p w14:paraId="488418EA" w14:textId="47E09FA9" w:rsidR="00E15FF0" w:rsidRPr="005A4D4E" w:rsidRDefault="0042342D" w:rsidP="001435D0">
      <w:pPr>
        <w:spacing w:line="259" w:lineRule="auto"/>
        <w:ind w:right="5"/>
        <w:jc w:val="center"/>
        <w:rPr>
          <w:rFonts w:ascii="Times New Roman" w:hAnsi="Times New Roman" w:cs="Times New Roman"/>
        </w:rPr>
      </w:pPr>
      <w:r>
        <w:t>Diretor Administrativo e Financeiro</w:t>
      </w:r>
    </w:p>
    <w:sectPr w:rsidR="00E15FF0" w:rsidRPr="005A4D4E" w:rsidSect="007711A4">
      <w:headerReference w:type="default" r:id="rId7"/>
      <w:footerReference w:type="default" r:id="rId8"/>
      <w:pgSz w:w="11900" w:h="16840"/>
      <w:pgMar w:top="1843" w:right="1701" w:bottom="1560" w:left="1701" w:header="7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7B28" w14:textId="77777777" w:rsidR="000012F9" w:rsidRDefault="000012F9" w:rsidP="00416B49">
      <w:r>
        <w:separator/>
      </w:r>
    </w:p>
  </w:endnote>
  <w:endnote w:type="continuationSeparator" w:id="0">
    <w:p w14:paraId="15A3F806" w14:textId="77777777" w:rsidR="000012F9" w:rsidRDefault="000012F9" w:rsidP="0041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FDB4" w14:textId="77777777" w:rsidR="008A32AA" w:rsidRDefault="001A163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589786C" wp14:editId="45DDA498">
          <wp:simplePos x="0" y="0"/>
          <wp:positionH relativeFrom="column">
            <wp:posOffset>-1145450</wp:posOffset>
          </wp:positionH>
          <wp:positionV relativeFrom="paragraph">
            <wp:posOffset>-911225</wp:posOffset>
          </wp:positionV>
          <wp:extent cx="7608739" cy="1563370"/>
          <wp:effectExtent l="0" t="0" r="11430" b="1143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 ofic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273" cy="1583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C929" w14:textId="77777777" w:rsidR="000012F9" w:rsidRDefault="000012F9" w:rsidP="00416B49">
      <w:r>
        <w:separator/>
      </w:r>
    </w:p>
  </w:footnote>
  <w:footnote w:type="continuationSeparator" w:id="0">
    <w:p w14:paraId="092B9FC7" w14:textId="77777777" w:rsidR="000012F9" w:rsidRDefault="000012F9" w:rsidP="0041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DB16" w14:textId="27097D44" w:rsidR="00416B49" w:rsidRDefault="00717A75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22D993" wp14:editId="1A8C02DA">
          <wp:simplePos x="0" y="0"/>
          <wp:positionH relativeFrom="column">
            <wp:posOffset>3528079</wp:posOffset>
          </wp:positionH>
          <wp:positionV relativeFrom="paragraph">
            <wp:posOffset>-72591</wp:posOffset>
          </wp:positionV>
          <wp:extent cx="2087595" cy="735606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595" cy="735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927" w:rsidRPr="002838D0">
      <w:rPr>
        <w:noProof/>
      </w:rPr>
      <w:drawing>
        <wp:inline distT="0" distB="0" distL="0" distR="0" wp14:anchorId="4874CC3F" wp14:editId="5034E562">
          <wp:extent cx="1551769" cy="674144"/>
          <wp:effectExtent l="0" t="0" r="0" b="0"/>
          <wp:docPr id="4" name="Imagem 4" descr="Logotipo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tipo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69" cy="67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599"/>
    <w:multiLevelType w:val="hybridMultilevel"/>
    <w:tmpl w:val="EB7E0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E67"/>
    <w:multiLevelType w:val="hybridMultilevel"/>
    <w:tmpl w:val="BAF00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E57C0"/>
    <w:multiLevelType w:val="hybridMultilevel"/>
    <w:tmpl w:val="2FF64B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2005"/>
    <w:multiLevelType w:val="hybridMultilevel"/>
    <w:tmpl w:val="2A58E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4EC2"/>
    <w:multiLevelType w:val="multilevel"/>
    <w:tmpl w:val="71D42DB6"/>
    <w:lvl w:ilvl="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rFonts w:hint="default"/>
      </w:rPr>
    </w:lvl>
    <w:lvl w:ilvl="2">
      <w:start w:val="1"/>
      <w:numFmt w:val="none"/>
      <w:lvlText w:val="b.1"/>
      <w:lvlJc w:val="right"/>
      <w:pPr>
        <w:ind w:left="25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rFonts w:hint="default"/>
      </w:rPr>
    </w:lvl>
  </w:abstractNum>
  <w:abstractNum w:abstractNumId="5" w15:restartNumberingAfterBreak="0">
    <w:nsid w:val="11B744BA"/>
    <w:multiLevelType w:val="hybridMultilevel"/>
    <w:tmpl w:val="91225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91492"/>
    <w:multiLevelType w:val="hybridMultilevel"/>
    <w:tmpl w:val="F9944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46F49"/>
    <w:multiLevelType w:val="hybridMultilevel"/>
    <w:tmpl w:val="15862E7E"/>
    <w:lvl w:ilvl="0" w:tplc="4EA44BB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1402E"/>
    <w:multiLevelType w:val="hybridMultilevel"/>
    <w:tmpl w:val="B9EAFB26"/>
    <w:lvl w:ilvl="0" w:tplc="4F16812E">
      <w:start w:val="1"/>
      <w:numFmt w:val="lowerLetter"/>
      <w:lvlText w:val="%1."/>
      <w:lvlJc w:val="left"/>
      <w:pPr>
        <w:ind w:left="169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309C6"/>
    <w:multiLevelType w:val="hybridMultilevel"/>
    <w:tmpl w:val="621E98CA"/>
    <w:lvl w:ilvl="0" w:tplc="3FB46E7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C25F2"/>
    <w:multiLevelType w:val="hybridMultilevel"/>
    <w:tmpl w:val="30C09B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35329"/>
    <w:multiLevelType w:val="hybridMultilevel"/>
    <w:tmpl w:val="2E2A58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4383F"/>
    <w:multiLevelType w:val="hybridMultilevel"/>
    <w:tmpl w:val="187CAF96"/>
    <w:lvl w:ilvl="0" w:tplc="6C9E4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10FC5"/>
    <w:multiLevelType w:val="hybridMultilevel"/>
    <w:tmpl w:val="66D2136A"/>
    <w:lvl w:ilvl="0" w:tplc="0A5A9CB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151A2"/>
    <w:multiLevelType w:val="hybridMultilevel"/>
    <w:tmpl w:val="40E29444"/>
    <w:lvl w:ilvl="0" w:tplc="7096CA90">
      <w:start w:val="1"/>
      <w:numFmt w:val="upperRoman"/>
      <w:lvlText w:val="%1 –"/>
      <w:lvlJc w:val="left"/>
      <w:pPr>
        <w:ind w:left="107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93" w:hanging="360"/>
      </w:pPr>
    </w:lvl>
    <w:lvl w:ilvl="2" w:tplc="0416001B">
      <w:start w:val="1"/>
      <w:numFmt w:val="lowerRoman"/>
      <w:lvlText w:val="%3."/>
      <w:lvlJc w:val="right"/>
      <w:pPr>
        <w:ind w:left="2513" w:hanging="180"/>
      </w:pPr>
    </w:lvl>
    <w:lvl w:ilvl="3" w:tplc="0416000F">
      <w:start w:val="1"/>
      <w:numFmt w:val="decimal"/>
      <w:lvlText w:val="%4."/>
      <w:lvlJc w:val="left"/>
      <w:pPr>
        <w:ind w:left="3233" w:hanging="360"/>
      </w:pPr>
    </w:lvl>
    <w:lvl w:ilvl="4" w:tplc="04160019">
      <w:start w:val="1"/>
      <w:numFmt w:val="lowerLetter"/>
      <w:lvlText w:val="%5."/>
      <w:lvlJc w:val="left"/>
      <w:pPr>
        <w:ind w:left="3953" w:hanging="360"/>
      </w:pPr>
    </w:lvl>
    <w:lvl w:ilvl="5" w:tplc="0416001B">
      <w:start w:val="1"/>
      <w:numFmt w:val="lowerRoman"/>
      <w:lvlText w:val="%6."/>
      <w:lvlJc w:val="right"/>
      <w:pPr>
        <w:ind w:left="4673" w:hanging="180"/>
      </w:pPr>
    </w:lvl>
    <w:lvl w:ilvl="6" w:tplc="0416000F" w:tentative="1">
      <w:start w:val="1"/>
      <w:numFmt w:val="decimal"/>
      <w:lvlText w:val="%7."/>
      <w:lvlJc w:val="left"/>
      <w:pPr>
        <w:ind w:left="5393" w:hanging="360"/>
      </w:pPr>
    </w:lvl>
    <w:lvl w:ilvl="7" w:tplc="04160019" w:tentative="1">
      <w:start w:val="1"/>
      <w:numFmt w:val="lowerLetter"/>
      <w:lvlText w:val="%8."/>
      <w:lvlJc w:val="left"/>
      <w:pPr>
        <w:ind w:left="6113" w:hanging="360"/>
      </w:pPr>
    </w:lvl>
    <w:lvl w:ilvl="8" w:tplc="0416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5" w15:restartNumberingAfterBreak="0">
    <w:nsid w:val="4CD70D38"/>
    <w:multiLevelType w:val="hybridMultilevel"/>
    <w:tmpl w:val="B9EE7BC8"/>
    <w:lvl w:ilvl="0" w:tplc="118212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3666E"/>
    <w:multiLevelType w:val="hybridMultilevel"/>
    <w:tmpl w:val="B97C38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E141D"/>
    <w:multiLevelType w:val="hybridMultilevel"/>
    <w:tmpl w:val="3FE6A5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73CF3"/>
    <w:multiLevelType w:val="hybridMultilevel"/>
    <w:tmpl w:val="92484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27BAE"/>
    <w:multiLevelType w:val="hybridMultilevel"/>
    <w:tmpl w:val="3D2A01A4"/>
    <w:lvl w:ilvl="0" w:tplc="C18A6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77FF"/>
    <w:multiLevelType w:val="hybridMultilevel"/>
    <w:tmpl w:val="AB6255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3340B"/>
    <w:multiLevelType w:val="hybridMultilevel"/>
    <w:tmpl w:val="745EC3C8"/>
    <w:lvl w:ilvl="0" w:tplc="CBFE8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C2D87"/>
    <w:multiLevelType w:val="hybridMultilevel"/>
    <w:tmpl w:val="7C926F2C"/>
    <w:lvl w:ilvl="0" w:tplc="C3F89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37533"/>
    <w:multiLevelType w:val="hybridMultilevel"/>
    <w:tmpl w:val="2536D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657903">
    <w:abstractNumId w:val="1"/>
  </w:num>
  <w:num w:numId="2" w16cid:durableId="635796725">
    <w:abstractNumId w:val="11"/>
  </w:num>
  <w:num w:numId="3" w16cid:durableId="1803494608">
    <w:abstractNumId w:val="0"/>
  </w:num>
  <w:num w:numId="4" w16cid:durableId="994527815">
    <w:abstractNumId w:val="23"/>
  </w:num>
  <w:num w:numId="5" w16cid:durableId="683048266">
    <w:abstractNumId w:val="6"/>
  </w:num>
  <w:num w:numId="6" w16cid:durableId="359746178">
    <w:abstractNumId w:val="2"/>
  </w:num>
  <w:num w:numId="7" w16cid:durableId="1333875448">
    <w:abstractNumId w:val="10"/>
  </w:num>
  <w:num w:numId="8" w16cid:durableId="33818074">
    <w:abstractNumId w:val="3"/>
  </w:num>
  <w:num w:numId="9" w16cid:durableId="38946103">
    <w:abstractNumId w:val="16"/>
  </w:num>
  <w:num w:numId="10" w16cid:durableId="1151679728">
    <w:abstractNumId w:val="18"/>
  </w:num>
  <w:num w:numId="11" w16cid:durableId="428159933">
    <w:abstractNumId w:val="5"/>
  </w:num>
  <w:num w:numId="12" w16cid:durableId="237251513">
    <w:abstractNumId w:val="17"/>
  </w:num>
  <w:num w:numId="13" w16cid:durableId="613294503">
    <w:abstractNumId w:val="15"/>
  </w:num>
  <w:num w:numId="14" w16cid:durableId="1775633370">
    <w:abstractNumId w:val="4"/>
  </w:num>
  <w:num w:numId="15" w16cid:durableId="443966190">
    <w:abstractNumId w:val="8"/>
  </w:num>
  <w:num w:numId="16" w16cid:durableId="1473863650">
    <w:abstractNumId w:val="9"/>
  </w:num>
  <w:num w:numId="17" w16cid:durableId="2023236824">
    <w:abstractNumId w:val="13"/>
  </w:num>
  <w:num w:numId="18" w16cid:durableId="2018463658">
    <w:abstractNumId w:val="14"/>
  </w:num>
  <w:num w:numId="19" w16cid:durableId="1006177351">
    <w:abstractNumId w:val="20"/>
  </w:num>
  <w:num w:numId="20" w16cid:durableId="126512395">
    <w:abstractNumId w:val="19"/>
  </w:num>
  <w:num w:numId="21" w16cid:durableId="1984893269">
    <w:abstractNumId w:val="21"/>
  </w:num>
  <w:num w:numId="22" w16cid:durableId="1355888670">
    <w:abstractNumId w:val="22"/>
  </w:num>
  <w:num w:numId="23" w16cid:durableId="1688554936">
    <w:abstractNumId w:val="12"/>
  </w:num>
  <w:num w:numId="24" w16cid:durableId="1739787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49"/>
    <w:rsid w:val="000012F9"/>
    <w:rsid w:val="00003CD5"/>
    <w:rsid w:val="0001755C"/>
    <w:rsid w:val="00021FC1"/>
    <w:rsid w:val="0003608F"/>
    <w:rsid w:val="000374F8"/>
    <w:rsid w:val="0004073B"/>
    <w:rsid w:val="00042470"/>
    <w:rsid w:val="00047E87"/>
    <w:rsid w:val="000509D7"/>
    <w:rsid w:val="00052D40"/>
    <w:rsid w:val="00060A74"/>
    <w:rsid w:val="00060AD9"/>
    <w:rsid w:val="00060B32"/>
    <w:rsid w:val="0006186A"/>
    <w:rsid w:val="000642B5"/>
    <w:rsid w:val="00067831"/>
    <w:rsid w:val="00076828"/>
    <w:rsid w:val="000778B5"/>
    <w:rsid w:val="00080D08"/>
    <w:rsid w:val="00080F4C"/>
    <w:rsid w:val="00084847"/>
    <w:rsid w:val="00093B47"/>
    <w:rsid w:val="000A3FD5"/>
    <w:rsid w:val="000C2ACE"/>
    <w:rsid w:val="000C7262"/>
    <w:rsid w:val="000D3067"/>
    <w:rsid w:val="000D4FE4"/>
    <w:rsid w:val="000D6C09"/>
    <w:rsid w:val="000D6CC5"/>
    <w:rsid w:val="000D7FF5"/>
    <w:rsid w:val="000E6A11"/>
    <w:rsid w:val="000E6C23"/>
    <w:rsid w:val="00100310"/>
    <w:rsid w:val="00102E36"/>
    <w:rsid w:val="001239B7"/>
    <w:rsid w:val="00123F40"/>
    <w:rsid w:val="0013006D"/>
    <w:rsid w:val="00134107"/>
    <w:rsid w:val="00136EC0"/>
    <w:rsid w:val="0014065B"/>
    <w:rsid w:val="001435D0"/>
    <w:rsid w:val="0015122A"/>
    <w:rsid w:val="00162D44"/>
    <w:rsid w:val="001752BD"/>
    <w:rsid w:val="00196532"/>
    <w:rsid w:val="00196A59"/>
    <w:rsid w:val="00196CB2"/>
    <w:rsid w:val="001A163C"/>
    <w:rsid w:val="001A6661"/>
    <w:rsid w:val="001B7464"/>
    <w:rsid w:val="001C117B"/>
    <w:rsid w:val="001C7642"/>
    <w:rsid w:val="001D33DF"/>
    <w:rsid w:val="001D4B05"/>
    <w:rsid w:val="001D5B05"/>
    <w:rsid w:val="001E0B9E"/>
    <w:rsid w:val="001E2CBA"/>
    <w:rsid w:val="001F0125"/>
    <w:rsid w:val="001F10AA"/>
    <w:rsid w:val="001F73CE"/>
    <w:rsid w:val="001F7661"/>
    <w:rsid w:val="002025F8"/>
    <w:rsid w:val="00206BF5"/>
    <w:rsid w:val="00212901"/>
    <w:rsid w:val="002142D8"/>
    <w:rsid w:val="00217E99"/>
    <w:rsid w:val="00225AF0"/>
    <w:rsid w:val="002270BB"/>
    <w:rsid w:val="00230E1B"/>
    <w:rsid w:val="00240CC3"/>
    <w:rsid w:val="00242639"/>
    <w:rsid w:val="00247AC4"/>
    <w:rsid w:val="00255700"/>
    <w:rsid w:val="00260868"/>
    <w:rsid w:val="002615A9"/>
    <w:rsid w:val="00263B7C"/>
    <w:rsid w:val="002641CD"/>
    <w:rsid w:val="00272540"/>
    <w:rsid w:val="00275DAE"/>
    <w:rsid w:val="00280DDB"/>
    <w:rsid w:val="00287095"/>
    <w:rsid w:val="00294265"/>
    <w:rsid w:val="002970A9"/>
    <w:rsid w:val="002A0CFB"/>
    <w:rsid w:val="002B2C96"/>
    <w:rsid w:val="002B326F"/>
    <w:rsid w:val="002C217F"/>
    <w:rsid w:val="002C7B51"/>
    <w:rsid w:val="002D04DE"/>
    <w:rsid w:val="002D6B6F"/>
    <w:rsid w:val="002E7F6D"/>
    <w:rsid w:val="00303F81"/>
    <w:rsid w:val="0031263C"/>
    <w:rsid w:val="00316263"/>
    <w:rsid w:val="00330CC8"/>
    <w:rsid w:val="0033414D"/>
    <w:rsid w:val="00334474"/>
    <w:rsid w:val="00337C78"/>
    <w:rsid w:val="00350248"/>
    <w:rsid w:val="00356E79"/>
    <w:rsid w:val="00371547"/>
    <w:rsid w:val="00372516"/>
    <w:rsid w:val="00372FCA"/>
    <w:rsid w:val="00373AD5"/>
    <w:rsid w:val="00374292"/>
    <w:rsid w:val="003762AE"/>
    <w:rsid w:val="00381580"/>
    <w:rsid w:val="0038161A"/>
    <w:rsid w:val="00390DD0"/>
    <w:rsid w:val="003A31B9"/>
    <w:rsid w:val="003A595B"/>
    <w:rsid w:val="003A66DC"/>
    <w:rsid w:val="003B3580"/>
    <w:rsid w:val="003C0D87"/>
    <w:rsid w:val="003C123F"/>
    <w:rsid w:val="003C3A91"/>
    <w:rsid w:val="003C600E"/>
    <w:rsid w:val="003D548E"/>
    <w:rsid w:val="003D55FD"/>
    <w:rsid w:val="003E1CE2"/>
    <w:rsid w:val="003F16C9"/>
    <w:rsid w:val="003F63C5"/>
    <w:rsid w:val="003F6744"/>
    <w:rsid w:val="0040526D"/>
    <w:rsid w:val="00411C6D"/>
    <w:rsid w:val="0041365A"/>
    <w:rsid w:val="00416B49"/>
    <w:rsid w:val="0042342D"/>
    <w:rsid w:val="00437FBE"/>
    <w:rsid w:val="00440DEF"/>
    <w:rsid w:val="0045067F"/>
    <w:rsid w:val="004556B3"/>
    <w:rsid w:val="00455740"/>
    <w:rsid w:val="00460A2C"/>
    <w:rsid w:val="004659CE"/>
    <w:rsid w:val="00484C13"/>
    <w:rsid w:val="00486D5F"/>
    <w:rsid w:val="00496266"/>
    <w:rsid w:val="00496793"/>
    <w:rsid w:val="004A24DF"/>
    <w:rsid w:val="004B0023"/>
    <w:rsid w:val="004B034F"/>
    <w:rsid w:val="004B7D96"/>
    <w:rsid w:val="004C4C2E"/>
    <w:rsid w:val="004D3E08"/>
    <w:rsid w:val="004E4148"/>
    <w:rsid w:val="004E5229"/>
    <w:rsid w:val="00504035"/>
    <w:rsid w:val="005145E7"/>
    <w:rsid w:val="00514AF4"/>
    <w:rsid w:val="00514B36"/>
    <w:rsid w:val="00524EB5"/>
    <w:rsid w:val="00525291"/>
    <w:rsid w:val="00525763"/>
    <w:rsid w:val="00531885"/>
    <w:rsid w:val="0054030A"/>
    <w:rsid w:val="00541D65"/>
    <w:rsid w:val="005448B4"/>
    <w:rsid w:val="00551628"/>
    <w:rsid w:val="00555B27"/>
    <w:rsid w:val="005565C6"/>
    <w:rsid w:val="00560CB0"/>
    <w:rsid w:val="005679CF"/>
    <w:rsid w:val="00591720"/>
    <w:rsid w:val="005977B6"/>
    <w:rsid w:val="005A0457"/>
    <w:rsid w:val="005A1909"/>
    <w:rsid w:val="005A3F09"/>
    <w:rsid w:val="005A4D4E"/>
    <w:rsid w:val="005A5F47"/>
    <w:rsid w:val="005E1804"/>
    <w:rsid w:val="005E3E2E"/>
    <w:rsid w:val="005E73D3"/>
    <w:rsid w:val="005F4EC4"/>
    <w:rsid w:val="00610241"/>
    <w:rsid w:val="00610D62"/>
    <w:rsid w:val="00612537"/>
    <w:rsid w:val="00612F67"/>
    <w:rsid w:val="00623391"/>
    <w:rsid w:val="006238A1"/>
    <w:rsid w:val="006272FB"/>
    <w:rsid w:val="00630713"/>
    <w:rsid w:val="00632EB2"/>
    <w:rsid w:val="0064137B"/>
    <w:rsid w:val="00647081"/>
    <w:rsid w:val="00647A58"/>
    <w:rsid w:val="006561BC"/>
    <w:rsid w:val="00657F6A"/>
    <w:rsid w:val="00661892"/>
    <w:rsid w:val="00674395"/>
    <w:rsid w:val="006818C1"/>
    <w:rsid w:val="00691D9C"/>
    <w:rsid w:val="006A4286"/>
    <w:rsid w:val="006A4946"/>
    <w:rsid w:val="006B6F98"/>
    <w:rsid w:val="006C5DB2"/>
    <w:rsid w:val="006D1CDA"/>
    <w:rsid w:val="006D1DD2"/>
    <w:rsid w:val="006E0874"/>
    <w:rsid w:val="006E233F"/>
    <w:rsid w:val="006F071F"/>
    <w:rsid w:val="006F2355"/>
    <w:rsid w:val="006F72A3"/>
    <w:rsid w:val="006F7A84"/>
    <w:rsid w:val="00700AF6"/>
    <w:rsid w:val="00701744"/>
    <w:rsid w:val="00707490"/>
    <w:rsid w:val="00711BD6"/>
    <w:rsid w:val="00715274"/>
    <w:rsid w:val="00717A75"/>
    <w:rsid w:val="00732574"/>
    <w:rsid w:val="00733562"/>
    <w:rsid w:val="00735F58"/>
    <w:rsid w:val="00742C45"/>
    <w:rsid w:val="00743DAD"/>
    <w:rsid w:val="00746D97"/>
    <w:rsid w:val="0075281B"/>
    <w:rsid w:val="00756FEA"/>
    <w:rsid w:val="007711A4"/>
    <w:rsid w:val="007A2D45"/>
    <w:rsid w:val="007A3270"/>
    <w:rsid w:val="007A4645"/>
    <w:rsid w:val="007B5032"/>
    <w:rsid w:val="007D2331"/>
    <w:rsid w:val="008246E5"/>
    <w:rsid w:val="008246F2"/>
    <w:rsid w:val="0083038E"/>
    <w:rsid w:val="0083134A"/>
    <w:rsid w:val="0083385A"/>
    <w:rsid w:val="0083469C"/>
    <w:rsid w:val="00834A7A"/>
    <w:rsid w:val="008439D1"/>
    <w:rsid w:val="008453C1"/>
    <w:rsid w:val="00852946"/>
    <w:rsid w:val="0085496C"/>
    <w:rsid w:val="00855C07"/>
    <w:rsid w:val="00855C42"/>
    <w:rsid w:val="008571AD"/>
    <w:rsid w:val="0086796B"/>
    <w:rsid w:val="008711DA"/>
    <w:rsid w:val="00871F6B"/>
    <w:rsid w:val="00874927"/>
    <w:rsid w:val="008760A1"/>
    <w:rsid w:val="00894164"/>
    <w:rsid w:val="00896420"/>
    <w:rsid w:val="00896590"/>
    <w:rsid w:val="008A1796"/>
    <w:rsid w:val="008A32AA"/>
    <w:rsid w:val="008A47E4"/>
    <w:rsid w:val="008A785A"/>
    <w:rsid w:val="008C3369"/>
    <w:rsid w:val="008C4C2F"/>
    <w:rsid w:val="008D2220"/>
    <w:rsid w:val="008D48B8"/>
    <w:rsid w:val="008F5B4C"/>
    <w:rsid w:val="00904644"/>
    <w:rsid w:val="00905197"/>
    <w:rsid w:val="00915108"/>
    <w:rsid w:val="00927936"/>
    <w:rsid w:val="009314E4"/>
    <w:rsid w:val="00940222"/>
    <w:rsid w:val="00943804"/>
    <w:rsid w:val="00943918"/>
    <w:rsid w:val="009534A9"/>
    <w:rsid w:val="00975892"/>
    <w:rsid w:val="009860C2"/>
    <w:rsid w:val="00991F8D"/>
    <w:rsid w:val="009972B1"/>
    <w:rsid w:val="009A28C8"/>
    <w:rsid w:val="009A41B8"/>
    <w:rsid w:val="009A659B"/>
    <w:rsid w:val="009B63F9"/>
    <w:rsid w:val="009B6F85"/>
    <w:rsid w:val="009C3559"/>
    <w:rsid w:val="009C7F37"/>
    <w:rsid w:val="009D2106"/>
    <w:rsid w:val="009D2ED5"/>
    <w:rsid w:val="009E497A"/>
    <w:rsid w:val="00A01BF6"/>
    <w:rsid w:val="00A03458"/>
    <w:rsid w:val="00A0435C"/>
    <w:rsid w:val="00A073E6"/>
    <w:rsid w:val="00A15531"/>
    <w:rsid w:val="00A16A3A"/>
    <w:rsid w:val="00A21871"/>
    <w:rsid w:val="00A25CD1"/>
    <w:rsid w:val="00A26B9B"/>
    <w:rsid w:val="00A341F4"/>
    <w:rsid w:val="00A62517"/>
    <w:rsid w:val="00A6605A"/>
    <w:rsid w:val="00A663F2"/>
    <w:rsid w:val="00A67EE5"/>
    <w:rsid w:val="00A77815"/>
    <w:rsid w:val="00A821CD"/>
    <w:rsid w:val="00A9202C"/>
    <w:rsid w:val="00A96CAE"/>
    <w:rsid w:val="00AA0360"/>
    <w:rsid w:val="00AA362C"/>
    <w:rsid w:val="00AB0689"/>
    <w:rsid w:val="00AB12F8"/>
    <w:rsid w:val="00AB23A2"/>
    <w:rsid w:val="00AC08E4"/>
    <w:rsid w:val="00AC35F6"/>
    <w:rsid w:val="00AC46C1"/>
    <w:rsid w:val="00AC65BC"/>
    <w:rsid w:val="00AD2BCF"/>
    <w:rsid w:val="00AE37C8"/>
    <w:rsid w:val="00AF0233"/>
    <w:rsid w:val="00AF29AA"/>
    <w:rsid w:val="00B001AB"/>
    <w:rsid w:val="00B14ECD"/>
    <w:rsid w:val="00B1596D"/>
    <w:rsid w:val="00B16900"/>
    <w:rsid w:val="00B20FA1"/>
    <w:rsid w:val="00B24DEA"/>
    <w:rsid w:val="00B26252"/>
    <w:rsid w:val="00B26456"/>
    <w:rsid w:val="00B37E31"/>
    <w:rsid w:val="00B46C08"/>
    <w:rsid w:val="00B6035C"/>
    <w:rsid w:val="00B73649"/>
    <w:rsid w:val="00B809DA"/>
    <w:rsid w:val="00B875CE"/>
    <w:rsid w:val="00B905AD"/>
    <w:rsid w:val="00B96F2C"/>
    <w:rsid w:val="00BA5B0C"/>
    <w:rsid w:val="00BB0BFF"/>
    <w:rsid w:val="00BB288B"/>
    <w:rsid w:val="00BC106D"/>
    <w:rsid w:val="00BE323B"/>
    <w:rsid w:val="00BF6E25"/>
    <w:rsid w:val="00C1230E"/>
    <w:rsid w:val="00C134E1"/>
    <w:rsid w:val="00C15E65"/>
    <w:rsid w:val="00C2131F"/>
    <w:rsid w:val="00C25C98"/>
    <w:rsid w:val="00C35574"/>
    <w:rsid w:val="00C40571"/>
    <w:rsid w:val="00C47E2A"/>
    <w:rsid w:val="00C53C5B"/>
    <w:rsid w:val="00C54F8F"/>
    <w:rsid w:val="00C749F6"/>
    <w:rsid w:val="00C806FD"/>
    <w:rsid w:val="00C85D80"/>
    <w:rsid w:val="00C92541"/>
    <w:rsid w:val="00CA0B1A"/>
    <w:rsid w:val="00CA2CD1"/>
    <w:rsid w:val="00CB3691"/>
    <w:rsid w:val="00CB4E15"/>
    <w:rsid w:val="00CC0EC6"/>
    <w:rsid w:val="00CC6201"/>
    <w:rsid w:val="00CC78A4"/>
    <w:rsid w:val="00CE0537"/>
    <w:rsid w:val="00CE16EC"/>
    <w:rsid w:val="00CE473D"/>
    <w:rsid w:val="00CE74E4"/>
    <w:rsid w:val="00CF2244"/>
    <w:rsid w:val="00CF6AB8"/>
    <w:rsid w:val="00D0086B"/>
    <w:rsid w:val="00D00B2B"/>
    <w:rsid w:val="00D01574"/>
    <w:rsid w:val="00D022BE"/>
    <w:rsid w:val="00D04384"/>
    <w:rsid w:val="00D1132A"/>
    <w:rsid w:val="00D15C78"/>
    <w:rsid w:val="00D16716"/>
    <w:rsid w:val="00D20A8E"/>
    <w:rsid w:val="00D24918"/>
    <w:rsid w:val="00D3298C"/>
    <w:rsid w:val="00D33F41"/>
    <w:rsid w:val="00D342A2"/>
    <w:rsid w:val="00D371E2"/>
    <w:rsid w:val="00D40251"/>
    <w:rsid w:val="00D5520A"/>
    <w:rsid w:val="00D626BC"/>
    <w:rsid w:val="00D72F09"/>
    <w:rsid w:val="00D85B4E"/>
    <w:rsid w:val="00D922BB"/>
    <w:rsid w:val="00D936D6"/>
    <w:rsid w:val="00DA00E0"/>
    <w:rsid w:val="00DA20EE"/>
    <w:rsid w:val="00DA5553"/>
    <w:rsid w:val="00DA6424"/>
    <w:rsid w:val="00DB113A"/>
    <w:rsid w:val="00DB24DC"/>
    <w:rsid w:val="00DB5F70"/>
    <w:rsid w:val="00DB5FE3"/>
    <w:rsid w:val="00DC1D8C"/>
    <w:rsid w:val="00DC23C8"/>
    <w:rsid w:val="00DE0DB4"/>
    <w:rsid w:val="00DE3A34"/>
    <w:rsid w:val="00DE64BE"/>
    <w:rsid w:val="00DF198A"/>
    <w:rsid w:val="00DF7385"/>
    <w:rsid w:val="00E03B3E"/>
    <w:rsid w:val="00E1087D"/>
    <w:rsid w:val="00E15FF0"/>
    <w:rsid w:val="00E3180D"/>
    <w:rsid w:val="00E45794"/>
    <w:rsid w:val="00E53997"/>
    <w:rsid w:val="00E61500"/>
    <w:rsid w:val="00E6779B"/>
    <w:rsid w:val="00E74AF9"/>
    <w:rsid w:val="00E94688"/>
    <w:rsid w:val="00EA487D"/>
    <w:rsid w:val="00EB1593"/>
    <w:rsid w:val="00EB6D3C"/>
    <w:rsid w:val="00EC066A"/>
    <w:rsid w:val="00EC285F"/>
    <w:rsid w:val="00EC524C"/>
    <w:rsid w:val="00EC7065"/>
    <w:rsid w:val="00EC7A36"/>
    <w:rsid w:val="00ED2755"/>
    <w:rsid w:val="00ED553E"/>
    <w:rsid w:val="00EE1783"/>
    <w:rsid w:val="00EE1D47"/>
    <w:rsid w:val="00EE528E"/>
    <w:rsid w:val="00F0401D"/>
    <w:rsid w:val="00F20A44"/>
    <w:rsid w:val="00F219B6"/>
    <w:rsid w:val="00F43010"/>
    <w:rsid w:val="00F4512C"/>
    <w:rsid w:val="00F51950"/>
    <w:rsid w:val="00F52349"/>
    <w:rsid w:val="00F5269C"/>
    <w:rsid w:val="00F534FD"/>
    <w:rsid w:val="00F60119"/>
    <w:rsid w:val="00F663DD"/>
    <w:rsid w:val="00F74C96"/>
    <w:rsid w:val="00F87E68"/>
    <w:rsid w:val="00F9254F"/>
    <w:rsid w:val="00FA1C1D"/>
    <w:rsid w:val="00FA2148"/>
    <w:rsid w:val="00FA4AE5"/>
    <w:rsid w:val="00FB4D6C"/>
    <w:rsid w:val="00FB6A63"/>
    <w:rsid w:val="00FC058D"/>
    <w:rsid w:val="00FC2FCB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D7CA8"/>
  <w14:defaultImageDpi w14:val="32767"/>
  <w15:docId w15:val="{3C1BBC6D-98F4-4EA7-BEF0-E41EF8B1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34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E15FF0"/>
    <w:pPr>
      <w:keepNext/>
      <w:jc w:val="center"/>
      <w:outlineLvl w:val="4"/>
    </w:pPr>
    <w:rPr>
      <w:rFonts w:ascii="Times New Roman" w:eastAsia="Times New Roman" w:hAnsi="Times New Roman" w:cs="Times New Roman"/>
      <w:b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B49"/>
  </w:style>
  <w:style w:type="paragraph" w:styleId="Rodap">
    <w:name w:val="footer"/>
    <w:basedOn w:val="Normal"/>
    <w:link w:val="RodapChar"/>
    <w:uiPriority w:val="99"/>
    <w:unhideWhenUsed/>
    <w:rsid w:val="00416B4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16B49"/>
  </w:style>
  <w:style w:type="character" w:customStyle="1" w:styleId="Ttulo5Char">
    <w:name w:val="Título 5 Char"/>
    <w:basedOn w:val="Fontepargpadro"/>
    <w:link w:val="Ttulo5"/>
    <w:rsid w:val="00E15FF0"/>
    <w:rPr>
      <w:rFonts w:ascii="Times New Roman" w:eastAsia="Times New Roman" w:hAnsi="Times New Roman" w:cs="Times New Roman"/>
      <w:b/>
      <w:sz w:val="28"/>
      <w:lang w:eastAsia="pt-BR"/>
    </w:rPr>
  </w:style>
  <w:style w:type="paragraph" w:styleId="PargrafodaLista">
    <w:name w:val="List Paragraph"/>
    <w:basedOn w:val="Normal"/>
    <w:uiPriority w:val="34"/>
    <w:qFormat/>
    <w:rsid w:val="00E15FF0"/>
    <w:pPr>
      <w:ind w:left="720"/>
      <w:contextualSpacing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72540"/>
    <w:pPr>
      <w:ind w:left="708" w:firstLine="70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7254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303F8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uiPriority w:val="99"/>
    <w:rsid w:val="00AB0689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257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57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257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57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576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57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76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2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tedodatabela">
    <w:name w:val="Conteúdo da tabela"/>
    <w:basedOn w:val="Normal"/>
    <w:rsid w:val="00F0401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1665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Microsoft Office</dc:creator>
  <cp:lastModifiedBy>Maria Terezinha da Mota Batista</cp:lastModifiedBy>
  <cp:revision>4</cp:revision>
  <cp:lastPrinted>2022-03-21T18:45:00Z</cp:lastPrinted>
  <dcterms:created xsi:type="dcterms:W3CDTF">2022-04-13T18:54:00Z</dcterms:created>
  <dcterms:modified xsi:type="dcterms:W3CDTF">2022-04-19T18:51:00Z</dcterms:modified>
</cp:coreProperties>
</file>